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1886B" w14:textId="77777777" w:rsidR="00AA7A97" w:rsidRPr="00313F36" w:rsidRDefault="00DD5776" w:rsidP="00AA7A97">
      <w:pPr>
        <w:spacing w:before="72"/>
        <w:ind w:left="1705" w:right="1711"/>
        <w:jc w:val="center"/>
        <w:rPr>
          <w:rFonts w:asciiTheme="majorEastAsia" w:hAnsiTheme="majorEastAsia" w:cstheme="majorEastAsia"/>
          <w:b/>
          <w:bCs/>
          <w:sz w:val="24"/>
          <w:szCs w:val="24"/>
        </w:rPr>
      </w:pPr>
      <w:r w:rsidRPr="00313F36">
        <w:rPr>
          <w:rFonts w:asciiTheme="majorEastAsia" w:hAnsiTheme="majorEastAsia" w:cstheme="majorEastAsia" w:hint="eastAsia"/>
          <w:b/>
          <w:bCs/>
          <w:sz w:val="24"/>
          <w:szCs w:val="24"/>
        </w:rPr>
        <w:t>AVVISO PER LA MANIFESTAZIONE DI INTERESSE PER L</w:t>
      </w:r>
      <w:r w:rsidR="00313F36">
        <w:rPr>
          <w:rFonts w:asciiTheme="majorEastAsia" w:hAnsiTheme="majorEastAsia" w:cstheme="majorEastAsia"/>
          <w:b/>
          <w:bCs/>
          <w:sz w:val="24"/>
          <w:szCs w:val="24"/>
        </w:rPr>
        <w:t>’</w:t>
      </w:r>
      <w:r w:rsidRPr="00313F36">
        <w:rPr>
          <w:rFonts w:asciiTheme="majorEastAsia" w:hAnsiTheme="majorEastAsia" w:cstheme="majorEastAsia" w:hint="eastAsia"/>
          <w:b/>
          <w:bCs/>
          <w:sz w:val="24"/>
          <w:szCs w:val="24"/>
        </w:rPr>
        <w:t xml:space="preserve">AFFIDAMENTO DEL SERVIZIO DI CONTROLLO </w:t>
      </w:r>
      <w:r w:rsidRPr="00D14904">
        <w:rPr>
          <w:rFonts w:asciiTheme="majorEastAsia" w:hAnsiTheme="majorEastAsia" w:cstheme="majorEastAsia" w:hint="eastAsia"/>
          <w:b/>
          <w:bCs/>
          <w:i/>
          <w:iCs/>
          <w:sz w:val="24"/>
          <w:szCs w:val="24"/>
        </w:rPr>
        <w:t>IN ITINERE</w:t>
      </w:r>
      <w:r w:rsidRPr="00313F36">
        <w:rPr>
          <w:rFonts w:asciiTheme="majorEastAsia" w:hAnsiTheme="majorEastAsia" w:cstheme="majorEastAsia" w:hint="eastAsia"/>
          <w:b/>
          <w:bCs/>
          <w:sz w:val="24"/>
          <w:szCs w:val="24"/>
        </w:rPr>
        <w:t xml:space="preserve"> DEI PIANI FORMATIVI FINANZIATI DAL FONDO FORMAZIONE PICCOLE E MEDIE IMPRESE</w:t>
      </w:r>
    </w:p>
    <w:p w14:paraId="2F1B3B80" w14:textId="7D178A16" w:rsidR="00E86A4F" w:rsidRPr="00313F36" w:rsidRDefault="00DD5776" w:rsidP="00AA7A97">
      <w:pPr>
        <w:spacing w:before="72"/>
        <w:ind w:left="1705" w:right="1711"/>
        <w:jc w:val="center"/>
        <w:rPr>
          <w:rFonts w:asciiTheme="majorEastAsia" w:hAnsiTheme="majorEastAsia" w:cstheme="majorEastAsia"/>
          <w:b/>
          <w:sz w:val="24"/>
          <w:szCs w:val="24"/>
        </w:rPr>
      </w:pPr>
      <w:r w:rsidRPr="00313F36">
        <w:rPr>
          <w:rFonts w:asciiTheme="majorEastAsia" w:hAnsiTheme="majorEastAsia" w:cstheme="majorEastAsia" w:hint="eastAsia"/>
          <w:b/>
          <w:sz w:val="24"/>
          <w:szCs w:val="24"/>
        </w:rPr>
        <w:t>Modello</w:t>
      </w:r>
      <w:r w:rsidRPr="00313F36">
        <w:rPr>
          <w:rFonts w:asciiTheme="majorEastAsia" w:hAnsiTheme="majorEastAsia" w:cstheme="majorEastAsia" w:hint="eastAsia"/>
          <w:b/>
          <w:spacing w:val="-5"/>
          <w:sz w:val="24"/>
          <w:szCs w:val="24"/>
        </w:rPr>
        <w:t xml:space="preserve"> </w:t>
      </w:r>
      <w:r w:rsidRPr="00313F36">
        <w:rPr>
          <w:rFonts w:asciiTheme="majorEastAsia" w:hAnsiTheme="majorEastAsia" w:cstheme="majorEastAsia" w:hint="eastAsia"/>
          <w:b/>
          <w:sz w:val="24"/>
          <w:szCs w:val="24"/>
        </w:rPr>
        <w:t>per</w:t>
      </w:r>
      <w:r w:rsidRPr="00313F36">
        <w:rPr>
          <w:rFonts w:asciiTheme="majorEastAsia" w:hAnsiTheme="majorEastAsia" w:cstheme="majorEastAsia" w:hint="eastAsia"/>
          <w:b/>
          <w:spacing w:val="-5"/>
          <w:sz w:val="24"/>
          <w:szCs w:val="24"/>
        </w:rPr>
        <w:t xml:space="preserve"> </w:t>
      </w:r>
      <w:r w:rsidR="00514FF3">
        <w:rPr>
          <w:rFonts w:asciiTheme="majorEastAsia" w:hAnsiTheme="majorEastAsia" w:cstheme="majorEastAsia"/>
          <w:b/>
          <w:sz w:val="24"/>
          <w:szCs w:val="24"/>
        </w:rPr>
        <w:t>l’</w:t>
      </w:r>
      <w:r w:rsidRPr="00313F36">
        <w:rPr>
          <w:rFonts w:asciiTheme="majorEastAsia" w:hAnsiTheme="majorEastAsia" w:cstheme="majorEastAsia" w:hint="eastAsia"/>
          <w:b/>
          <w:sz w:val="24"/>
          <w:szCs w:val="24"/>
        </w:rPr>
        <w:t>autocertificazione</w:t>
      </w:r>
    </w:p>
    <w:p w14:paraId="42C6740B" w14:textId="77777777" w:rsidR="00E86A4F" w:rsidRPr="00313F36" w:rsidRDefault="00E86A4F">
      <w:pPr>
        <w:pStyle w:val="Corpotesto"/>
        <w:rPr>
          <w:rFonts w:asciiTheme="majorEastAsia" w:hAnsiTheme="majorEastAsia" w:cstheme="majorEastAsia"/>
          <w:b/>
          <w:sz w:val="24"/>
          <w:szCs w:val="24"/>
        </w:rPr>
      </w:pPr>
    </w:p>
    <w:p w14:paraId="525E9BF8" w14:textId="77777777" w:rsidR="00E86A4F" w:rsidRPr="00313F36" w:rsidRDefault="00E86A4F">
      <w:pPr>
        <w:pStyle w:val="Corpotesto"/>
        <w:rPr>
          <w:rFonts w:asciiTheme="majorEastAsia" w:hAnsiTheme="majorEastAsia" w:cstheme="majorEastAsia"/>
          <w:b/>
          <w:sz w:val="24"/>
          <w:szCs w:val="24"/>
        </w:rPr>
      </w:pPr>
    </w:p>
    <w:p w14:paraId="129247FF" w14:textId="77777777" w:rsidR="00E86A4F" w:rsidRPr="00313F36" w:rsidRDefault="00E86A4F">
      <w:pPr>
        <w:pStyle w:val="Corpotesto"/>
        <w:rPr>
          <w:rFonts w:asciiTheme="majorEastAsia" w:hAnsiTheme="majorEastAsia" w:cstheme="majorEastAsia"/>
          <w:b/>
          <w:sz w:val="24"/>
          <w:szCs w:val="24"/>
        </w:rPr>
      </w:pPr>
    </w:p>
    <w:p w14:paraId="10E0BF61" w14:textId="77777777" w:rsidR="00E86A4F" w:rsidRPr="00313F36" w:rsidRDefault="00E86A4F">
      <w:pPr>
        <w:pStyle w:val="Corpotesto"/>
        <w:spacing w:before="9"/>
        <w:rPr>
          <w:rFonts w:asciiTheme="majorEastAsia" w:hAnsiTheme="majorEastAsia" w:cstheme="majorEastAsia"/>
          <w:b/>
          <w:sz w:val="24"/>
          <w:szCs w:val="24"/>
        </w:rPr>
      </w:pPr>
    </w:p>
    <w:p w14:paraId="191AB97E" w14:textId="77777777" w:rsidR="00E86A4F" w:rsidRPr="00313F36" w:rsidRDefault="00511F3F">
      <w:pPr>
        <w:tabs>
          <w:tab w:val="left" w:pos="4172"/>
          <w:tab w:val="left" w:pos="5901"/>
          <w:tab w:val="left" w:pos="8409"/>
          <w:tab w:val="left" w:pos="9715"/>
        </w:tabs>
        <w:spacing w:line="360" w:lineRule="auto"/>
        <w:ind w:left="132" w:right="133"/>
        <w:jc w:val="both"/>
        <w:rPr>
          <w:rFonts w:asciiTheme="majorEastAsia" w:hAnsiTheme="majorEastAsia" w:cstheme="majorEastAsia"/>
          <w:i/>
          <w:sz w:val="24"/>
          <w:szCs w:val="24"/>
        </w:rPr>
      </w:pPr>
      <w:r w:rsidRPr="00313F36">
        <w:rPr>
          <w:rFonts w:asciiTheme="majorEastAsia" w:hAnsiTheme="majorEastAsia" w:cstheme="majorEastAsia" w:hint="eastAsia"/>
          <w:sz w:val="24"/>
          <w:szCs w:val="24"/>
        </w:rPr>
        <w:t>Il</w:t>
      </w:r>
      <w:r w:rsidRPr="00313F36">
        <w:rPr>
          <w:rFonts w:asciiTheme="majorEastAsia" w:hAnsiTheme="majorEastAsia" w:cstheme="majorEastAsia" w:hint="eastAsia"/>
          <w:spacing w:val="2"/>
          <w:sz w:val="24"/>
          <w:szCs w:val="24"/>
        </w:rPr>
        <w:t xml:space="preserve"> </w:t>
      </w:r>
      <w:r w:rsidRPr="00313F36">
        <w:rPr>
          <w:rFonts w:asciiTheme="majorEastAsia" w:hAnsiTheme="majorEastAsia" w:cstheme="majorEastAsia" w:hint="eastAsia"/>
          <w:sz w:val="24"/>
          <w:szCs w:val="24"/>
        </w:rPr>
        <w:t>sottoscritto</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nato</w:t>
      </w:r>
      <w:r w:rsidRPr="00313F36">
        <w:rPr>
          <w:rFonts w:asciiTheme="majorEastAsia" w:hAnsiTheme="majorEastAsia" w:cstheme="majorEastAsia" w:hint="eastAsia"/>
          <w:spacing w:val="6"/>
          <w:sz w:val="24"/>
          <w:szCs w:val="24"/>
        </w:rPr>
        <w:t xml:space="preserve"> </w:t>
      </w:r>
      <w:r w:rsidRPr="00313F36">
        <w:rPr>
          <w:rFonts w:asciiTheme="majorEastAsia" w:hAnsiTheme="majorEastAsia" w:cstheme="majorEastAsia" w:hint="eastAsia"/>
          <w:sz w:val="24"/>
          <w:szCs w:val="24"/>
        </w:rPr>
        <w:t>il</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domiciliato per</w:t>
      </w:r>
      <w:r w:rsidRPr="00313F36">
        <w:rPr>
          <w:rFonts w:asciiTheme="majorEastAsia" w:hAnsiTheme="majorEastAsia" w:cstheme="majorEastAsia" w:hint="eastAsia"/>
          <w:spacing w:val="-48"/>
          <w:sz w:val="24"/>
          <w:szCs w:val="24"/>
        </w:rPr>
        <w:t xml:space="preserve"> </w:t>
      </w:r>
      <w:r w:rsidRPr="00313F36">
        <w:rPr>
          <w:rFonts w:asciiTheme="majorEastAsia" w:hAnsiTheme="majorEastAsia" w:cstheme="majorEastAsia" w:hint="eastAsia"/>
          <w:sz w:val="24"/>
          <w:szCs w:val="24"/>
        </w:rPr>
        <w:t>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carica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presso 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sede societaria</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ove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appresso,</w:t>
      </w:r>
      <w:r w:rsidRPr="00313F36">
        <w:rPr>
          <w:rFonts w:asciiTheme="majorEastAsia" w:hAnsiTheme="majorEastAsia" w:cstheme="majorEastAsia" w:hint="eastAsia"/>
          <w:spacing w:val="-4"/>
          <w:sz w:val="24"/>
          <w:szCs w:val="24"/>
        </w:rPr>
        <w:t xml:space="preserve"> </w:t>
      </w:r>
      <w:r w:rsidRPr="00313F36">
        <w:rPr>
          <w:rFonts w:asciiTheme="majorEastAsia" w:hAnsiTheme="majorEastAsia" w:cstheme="majorEastAsia" w:hint="eastAsia"/>
          <w:sz w:val="24"/>
          <w:szCs w:val="24"/>
        </w:rPr>
        <w:t>in qualità</w:t>
      </w:r>
      <w:r w:rsidRPr="00313F36">
        <w:rPr>
          <w:rFonts w:asciiTheme="majorEastAsia" w:hAnsiTheme="majorEastAsia" w:cstheme="majorEastAsia" w:hint="eastAsia"/>
          <w:spacing w:val="-1"/>
          <w:sz w:val="24"/>
          <w:szCs w:val="24"/>
        </w:rPr>
        <w:t xml:space="preserve"> </w:t>
      </w:r>
      <w:proofErr w:type="gramStart"/>
      <w:r w:rsidRPr="001A5A31">
        <w:rPr>
          <w:rFonts w:asciiTheme="majorEastAsia" w:hAnsiTheme="majorEastAsia" w:cstheme="majorEastAsia" w:hint="eastAsia"/>
          <w:sz w:val="24"/>
          <w:szCs w:val="24"/>
        </w:rPr>
        <w:t>di</w:t>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proofErr w:type="gramEnd"/>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i/>
          <w:sz w:val="24"/>
          <w:szCs w:val="24"/>
        </w:rPr>
        <w:t>(selezionare</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l</w:t>
      </w:r>
      <w:r w:rsidR="00313F36">
        <w:rPr>
          <w:rFonts w:asciiTheme="majorEastAsia" w:hAnsiTheme="majorEastAsia" w:cstheme="majorEastAsia"/>
          <w:i/>
          <w:sz w:val="24"/>
          <w:szCs w:val="24"/>
        </w:rPr>
        <w:t>’</w:t>
      </w:r>
      <w:r w:rsidRPr="00313F36">
        <w:rPr>
          <w:rFonts w:asciiTheme="majorEastAsia" w:hAnsiTheme="majorEastAsia" w:cstheme="majorEastAsia" w:hint="eastAsia"/>
          <w:i/>
          <w:sz w:val="24"/>
          <w:szCs w:val="24"/>
        </w:rPr>
        <w:t>opzione che interessa)</w:t>
      </w:r>
    </w:p>
    <w:p w14:paraId="314AD4AA" w14:textId="485BBA48" w:rsidR="00E86A4F" w:rsidRPr="00313F36" w:rsidRDefault="00511F3F">
      <w:pPr>
        <w:pStyle w:val="Paragrafoelenco"/>
        <w:numPr>
          <w:ilvl w:val="0"/>
          <w:numId w:val="10"/>
        </w:numPr>
        <w:tabs>
          <w:tab w:val="left" w:pos="508"/>
        </w:tabs>
        <w:spacing w:before="17"/>
        <w:ind w:hanging="376"/>
        <w:jc w:val="left"/>
        <w:rPr>
          <w:rFonts w:asciiTheme="majorEastAsia" w:hAnsiTheme="majorEastAsia" w:cstheme="majorEastAsia"/>
          <w:i/>
          <w:sz w:val="24"/>
          <w:szCs w:val="24"/>
        </w:rPr>
      </w:pPr>
      <w:r w:rsidRPr="00313F36">
        <w:rPr>
          <w:rFonts w:asciiTheme="majorEastAsia" w:hAnsiTheme="majorEastAsia" w:cstheme="majorEastAsia" w:hint="eastAsia"/>
          <w:sz w:val="24"/>
          <w:szCs w:val="24"/>
        </w:rPr>
        <w:t>legale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rappresentante</w:t>
      </w:r>
      <w:r w:rsidRPr="00313F36">
        <w:rPr>
          <w:rFonts w:asciiTheme="majorEastAsia" w:hAnsiTheme="majorEastAsia" w:cstheme="majorEastAsia" w:hint="eastAsia"/>
          <w:spacing w:val="48"/>
          <w:sz w:val="24"/>
          <w:szCs w:val="24"/>
        </w:rPr>
        <w:t xml:space="preserve"> </w:t>
      </w:r>
      <w:r w:rsidRPr="00313F36">
        <w:rPr>
          <w:rFonts w:asciiTheme="majorEastAsia" w:hAnsiTheme="majorEastAsia" w:cstheme="majorEastAsia" w:hint="eastAsia"/>
          <w:i/>
          <w:sz w:val="24"/>
          <w:szCs w:val="24"/>
        </w:rPr>
        <w:t>(allegare copia</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documento</w:t>
      </w:r>
      <w:r w:rsidRPr="00313F36">
        <w:rPr>
          <w:rFonts w:asciiTheme="majorEastAsia" w:hAnsiTheme="majorEastAsia" w:cstheme="majorEastAsia" w:hint="eastAsia"/>
          <w:i/>
          <w:spacing w:val="-3"/>
          <w:sz w:val="24"/>
          <w:szCs w:val="24"/>
        </w:rPr>
        <w:t xml:space="preserve"> </w:t>
      </w:r>
      <w:r w:rsidRPr="00313F36">
        <w:rPr>
          <w:rFonts w:asciiTheme="majorEastAsia" w:hAnsiTheme="majorEastAsia" w:cstheme="majorEastAsia" w:hint="eastAsia"/>
          <w:i/>
          <w:sz w:val="24"/>
          <w:szCs w:val="24"/>
        </w:rPr>
        <w:t>di identità</w:t>
      </w:r>
      <w:r w:rsidR="00D719B6">
        <w:rPr>
          <w:rFonts w:asciiTheme="majorEastAsia" w:hAnsiTheme="majorEastAsia" w:cstheme="majorEastAsia"/>
          <w:i/>
          <w:sz w:val="24"/>
          <w:szCs w:val="24"/>
        </w:rPr>
        <w:t>)</w:t>
      </w:r>
    </w:p>
    <w:p w14:paraId="1ECD58F3" w14:textId="660FE79B" w:rsidR="00E86A4F" w:rsidRPr="00313F36" w:rsidRDefault="00511F3F">
      <w:pPr>
        <w:pStyle w:val="Paragrafoelenco"/>
        <w:numPr>
          <w:ilvl w:val="0"/>
          <w:numId w:val="10"/>
        </w:numPr>
        <w:tabs>
          <w:tab w:val="left" w:pos="508"/>
        </w:tabs>
        <w:spacing w:before="186"/>
        <w:ind w:hanging="376"/>
        <w:jc w:val="left"/>
        <w:rPr>
          <w:rFonts w:asciiTheme="majorEastAsia" w:hAnsiTheme="majorEastAsia" w:cstheme="majorEastAsia"/>
          <w:i/>
          <w:sz w:val="24"/>
          <w:szCs w:val="24"/>
        </w:rPr>
      </w:pPr>
      <w:r w:rsidRPr="00313F36">
        <w:rPr>
          <w:rFonts w:asciiTheme="majorEastAsia" w:hAnsiTheme="majorEastAsia" w:cstheme="majorEastAsia" w:hint="eastAsia"/>
          <w:sz w:val="24"/>
          <w:szCs w:val="24"/>
        </w:rPr>
        <w:t>procuratore</w:t>
      </w:r>
      <w:r w:rsidRPr="00313F36">
        <w:rPr>
          <w:rFonts w:asciiTheme="majorEastAsia" w:hAnsiTheme="majorEastAsia" w:cstheme="majorEastAsia" w:hint="eastAsia"/>
          <w:spacing w:val="-4"/>
          <w:sz w:val="24"/>
          <w:szCs w:val="24"/>
        </w:rPr>
        <w:t xml:space="preserve"> </w:t>
      </w:r>
      <w:r w:rsidRPr="00313F36">
        <w:rPr>
          <w:rFonts w:asciiTheme="majorEastAsia" w:hAnsiTheme="majorEastAsia" w:cstheme="majorEastAsia" w:hint="eastAsia"/>
          <w:i/>
          <w:sz w:val="24"/>
          <w:szCs w:val="24"/>
        </w:rPr>
        <w:t>(allegare</w:t>
      </w:r>
      <w:r w:rsidRPr="00313F36">
        <w:rPr>
          <w:rFonts w:asciiTheme="majorEastAsia" w:hAnsiTheme="majorEastAsia" w:cstheme="majorEastAsia" w:hint="eastAsia"/>
          <w:i/>
          <w:spacing w:val="-4"/>
          <w:sz w:val="24"/>
          <w:szCs w:val="24"/>
        </w:rPr>
        <w:t xml:space="preserve"> </w:t>
      </w:r>
      <w:r w:rsidRPr="00313F36">
        <w:rPr>
          <w:rFonts w:asciiTheme="majorEastAsia" w:hAnsiTheme="majorEastAsia" w:cstheme="majorEastAsia" w:hint="eastAsia"/>
          <w:i/>
          <w:sz w:val="24"/>
          <w:szCs w:val="24"/>
        </w:rPr>
        <w:t>copia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documento</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di</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identità</w:t>
      </w:r>
      <w:r w:rsidRPr="00313F36">
        <w:rPr>
          <w:rFonts w:asciiTheme="majorEastAsia" w:hAnsiTheme="majorEastAsia" w:cstheme="majorEastAsia" w:hint="eastAsia"/>
          <w:i/>
          <w:spacing w:val="-4"/>
          <w:sz w:val="24"/>
          <w:szCs w:val="24"/>
        </w:rPr>
        <w:t xml:space="preserve"> </w:t>
      </w:r>
      <w:r w:rsidRPr="00313F36">
        <w:rPr>
          <w:rFonts w:asciiTheme="majorEastAsia" w:hAnsiTheme="majorEastAsia" w:cstheme="majorEastAsia" w:hint="eastAsia"/>
          <w:i/>
          <w:sz w:val="24"/>
          <w:szCs w:val="24"/>
        </w:rPr>
        <w:t>e</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copia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conforme</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all</w:t>
      </w:r>
      <w:r w:rsidR="001A5A31">
        <w:rPr>
          <w:rFonts w:asciiTheme="majorEastAsia" w:hAnsiTheme="majorEastAsia" w:cstheme="majorEastAsia"/>
          <w:i/>
          <w:sz w:val="24"/>
          <w:szCs w:val="24"/>
        </w:rPr>
        <w:t>’</w:t>
      </w:r>
      <w:r w:rsidRPr="00313F36">
        <w:rPr>
          <w:rFonts w:asciiTheme="majorEastAsia" w:hAnsiTheme="majorEastAsia" w:cstheme="majorEastAsia" w:hint="eastAsia"/>
          <w:i/>
          <w:sz w:val="24"/>
          <w:szCs w:val="24"/>
        </w:rPr>
        <w:t>originale</w:t>
      </w:r>
      <w:r w:rsidRPr="00313F36">
        <w:rPr>
          <w:rFonts w:asciiTheme="majorEastAsia" w:hAnsiTheme="majorEastAsia" w:cstheme="majorEastAsia" w:hint="eastAsia"/>
          <w:i/>
          <w:spacing w:val="-1"/>
          <w:sz w:val="24"/>
          <w:szCs w:val="24"/>
        </w:rPr>
        <w:t xml:space="preserve"> </w:t>
      </w:r>
      <w:r w:rsidRPr="00313F36">
        <w:rPr>
          <w:rFonts w:asciiTheme="majorEastAsia" w:hAnsiTheme="majorEastAsia" w:cstheme="majorEastAsia" w:hint="eastAsia"/>
          <w:i/>
          <w:sz w:val="24"/>
          <w:szCs w:val="24"/>
        </w:rPr>
        <w:t>della</w:t>
      </w:r>
      <w:r w:rsidRPr="00313F36">
        <w:rPr>
          <w:rFonts w:asciiTheme="majorEastAsia" w:hAnsiTheme="majorEastAsia" w:cstheme="majorEastAsia" w:hint="eastAsia"/>
          <w:i/>
          <w:spacing w:val="-2"/>
          <w:sz w:val="24"/>
          <w:szCs w:val="24"/>
        </w:rPr>
        <w:t xml:space="preserve"> </w:t>
      </w:r>
      <w:r w:rsidRPr="00313F36">
        <w:rPr>
          <w:rFonts w:asciiTheme="majorEastAsia" w:hAnsiTheme="majorEastAsia" w:cstheme="majorEastAsia" w:hint="eastAsia"/>
          <w:i/>
          <w:sz w:val="24"/>
          <w:szCs w:val="24"/>
        </w:rPr>
        <w:t>procura)</w:t>
      </w:r>
      <w:r w:rsidRPr="00313F36">
        <w:rPr>
          <w:rFonts w:asciiTheme="majorEastAsia" w:hAnsiTheme="majorEastAsia" w:cstheme="majorEastAsia" w:hint="eastAsia"/>
          <w:i/>
          <w:spacing w:val="-4"/>
          <w:sz w:val="24"/>
          <w:szCs w:val="24"/>
        </w:rPr>
        <w:t xml:space="preserve"> </w:t>
      </w:r>
    </w:p>
    <w:p w14:paraId="46DA17ED" w14:textId="0272B336" w:rsidR="00E86A4F" w:rsidRDefault="00511F3F">
      <w:pPr>
        <w:pStyle w:val="Corpotesto"/>
        <w:tabs>
          <w:tab w:val="left" w:pos="3716"/>
          <w:tab w:val="left" w:pos="9663"/>
          <w:tab w:val="left" w:pos="9715"/>
          <w:tab w:val="left" w:pos="9770"/>
        </w:tabs>
        <w:spacing w:before="154" w:line="360" w:lineRule="auto"/>
        <w:ind w:left="132" w:right="133"/>
        <w:jc w:val="both"/>
        <w:rPr>
          <w:rFonts w:asciiTheme="majorEastAsia" w:hAnsiTheme="majorEastAsia" w:cstheme="majorEastAsia"/>
          <w:sz w:val="24"/>
          <w:szCs w:val="24"/>
          <w:u w:val="single"/>
        </w:rPr>
      </w:pPr>
      <w:r w:rsidRPr="00313F36">
        <w:rPr>
          <w:rFonts w:asciiTheme="majorEastAsia" w:hAnsiTheme="majorEastAsia" w:cstheme="majorEastAsia" w:hint="eastAsia"/>
          <w:sz w:val="24"/>
          <w:szCs w:val="24"/>
        </w:rPr>
        <w:t>dell</w:t>
      </w:r>
      <w:r w:rsidR="00313F36">
        <w:rPr>
          <w:rFonts w:asciiTheme="majorEastAsia" w:hAnsiTheme="majorEastAsia" w:cstheme="majorEastAsia"/>
          <w:sz w:val="24"/>
          <w:szCs w:val="24"/>
        </w:rPr>
        <w:t>’</w:t>
      </w:r>
      <w:r w:rsidRPr="00313F36">
        <w:rPr>
          <w:rFonts w:asciiTheme="majorEastAsia" w:hAnsiTheme="majorEastAsia" w:cstheme="majorEastAsia" w:hint="eastAsia"/>
          <w:sz w:val="24"/>
          <w:szCs w:val="24"/>
        </w:rPr>
        <w:t>impresa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con</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sede in</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Via</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codice</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fiscale</w:t>
      </w:r>
      <w:r w:rsidRPr="00313F36">
        <w:rPr>
          <w:rFonts w:asciiTheme="majorEastAsia" w:hAnsiTheme="majorEastAsia" w:cstheme="majorEastAsia" w:hint="eastAsia"/>
          <w:spacing w:val="-3"/>
          <w:sz w:val="24"/>
          <w:szCs w:val="24"/>
        </w:rPr>
        <w:t xml:space="preserve"> </w:t>
      </w:r>
      <w:r w:rsidRPr="00313F36">
        <w:rPr>
          <w:rFonts w:asciiTheme="majorEastAsia" w:hAnsiTheme="majorEastAsia" w:cstheme="majorEastAsia" w:hint="eastAsia"/>
          <w:sz w:val="24"/>
          <w:szCs w:val="24"/>
        </w:rPr>
        <w:t>n</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partita</w:t>
      </w:r>
      <w:r w:rsidRPr="00313F36">
        <w:rPr>
          <w:rFonts w:asciiTheme="majorEastAsia" w:hAnsiTheme="majorEastAsia" w:cstheme="majorEastAsia" w:hint="eastAsia"/>
          <w:spacing w:val="-2"/>
          <w:sz w:val="24"/>
          <w:szCs w:val="24"/>
        </w:rPr>
        <w:t xml:space="preserve"> </w:t>
      </w:r>
      <w:r w:rsidRPr="00313F36">
        <w:rPr>
          <w:rFonts w:asciiTheme="majorEastAsia" w:hAnsiTheme="majorEastAsia" w:cstheme="majorEastAsia" w:hint="eastAsia"/>
          <w:sz w:val="24"/>
          <w:szCs w:val="24"/>
        </w:rPr>
        <w:t>IVA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n</w:t>
      </w:r>
      <w:r w:rsidR="00370B2A">
        <w:rPr>
          <w:rFonts w:asciiTheme="majorEastAsia" w:hAnsiTheme="majorEastAsia" w:cstheme="majorEastAsia"/>
          <w:sz w:val="24"/>
          <w:szCs w:val="24"/>
        </w:rPr>
        <w:t>.</w:t>
      </w:r>
      <w:r w:rsidRPr="00313F36">
        <w:rPr>
          <w:rFonts w:asciiTheme="majorEastAsia" w:hAnsiTheme="majorEastAsia" w:cstheme="majorEastAsia" w:hint="eastAsia"/>
          <w:sz w:val="24"/>
          <w:szCs w:val="24"/>
        </w:rPr>
        <w:t xml:space="preserve">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rPr>
        <w:t xml:space="preserve"> telefono </w:t>
      </w:r>
      <w:r w:rsidRPr="00313F36">
        <w:rPr>
          <w:rFonts w:asciiTheme="majorEastAsia" w:hAnsiTheme="majorEastAsia" w:cstheme="majorEastAsia" w:hint="eastAsia"/>
          <w:sz w:val="24"/>
          <w:szCs w:val="24"/>
          <w:u w:val="single"/>
        </w:rPr>
        <w:t xml:space="preserve"> </w:t>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r w:rsidRPr="00313F36">
        <w:rPr>
          <w:rFonts w:asciiTheme="majorEastAsia" w:hAnsiTheme="majorEastAsia" w:cstheme="majorEastAsia" w:hint="eastAsia"/>
          <w:sz w:val="24"/>
          <w:szCs w:val="24"/>
          <w:u w:val="single"/>
        </w:rPr>
        <w:tab/>
      </w:r>
    </w:p>
    <w:p w14:paraId="0551D4A5" w14:textId="03A80FFC" w:rsidR="00370B2A" w:rsidRDefault="00370B2A" w:rsidP="00370B2A">
      <w:pPr>
        <w:pStyle w:val="Corpotesto"/>
        <w:tabs>
          <w:tab w:val="left" w:pos="9663"/>
          <w:tab w:val="left" w:pos="9715"/>
          <w:tab w:val="left" w:pos="9770"/>
        </w:tabs>
        <w:spacing w:before="154" w:line="360" w:lineRule="auto"/>
        <w:ind w:left="132" w:right="133"/>
        <w:jc w:val="both"/>
        <w:rPr>
          <w:rFonts w:asciiTheme="majorEastAsia" w:hAnsiTheme="majorEastAsia" w:cstheme="majorEastAsia"/>
          <w:sz w:val="24"/>
          <w:szCs w:val="24"/>
        </w:rPr>
      </w:pPr>
      <w:r>
        <w:rPr>
          <w:rFonts w:asciiTheme="majorEastAsia" w:hAnsiTheme="majorEastAsia" w:cstheme="majorEastAsia"/>
          <w:sz w:val="24"/>
          <w:szCs w:val="24"/>
        </w:rPr>
        <w:t>email (dell’operatore)______________________________________________________________</w:t>
      </w:r>
    </w:p>
    <w:p w14:paraId="2F576FFF" w14:textId="00D25836" w:rsidR="00370B2A" w:rsidRPr="00370B2A" w:rsidRDefault="00370B2A">
      <w:pPr>
        <w:pStyle w:val="Corpotesto"/>
        <w:tabs>
          <w:tab w:val="left" w:pos="3716"/>
          <w:tab w:val="left" w:pos="9663"/>
          <w:tab w:val="left" w:pos="9715"/>
          <w:tab w:val="left" w:pos="9770"/>
        </w:tabs>
        <w:spacing w:before="154" w:line="360" w:lineRule="auto"/>
        <w:ind w:left="132" w:right="133"/>
        <w:jc w:val="both"/>
        <w:rPr>
          <w:rFonts w:asciiTheme="majorEastAsia" w:hAnsiTheme="majorEastAsia" w:cstheme="majorEastAsia"/>
          <w:sz w:val="24"/>
          <w:szCs w:val="24"/>
        </w:rPr>
      </w:pPr>
      <w:proofErr w:type="spellStart"/>
      <w:r>
        <w:rPr>
          <w:rFonts w:asciiTheme="majorEastAsia" w:hAnsiTheme="majorEastAsia" w:cstheme="majorEastAsia"/>
          <w:sz w:val="24"/>
          <w:szCs w:val="24"/>
        </w:rPr>
        <w:t>pec</w:t>
      </w:r>
      <w:proofErr w:type="spellEnd"/>
      <w:r>
        <w:rPr>
          <w:rFonts w:asciiTheme="majorEastAsia" w:hAnsiTheme="majorEastAsia" w:cstheme="majorEastAsia"/>
          <w:sz w:val="24"/>
          <w:szCs w:val="24"/>
        </w:rPr>
        <w:t xml:space="preserve"> (dell’operatore)_______________________________________________________________</w:t>
      </w:r>
    </w:p>
    <w:p w14:paraId="37D4BB09" w14:textId="77777777" w:rsidR="00E86A4F" w:rsidRPr="00313F36" w:rsidRDefault="00E86A4F">
      <w:pPr>
        <w:pStyle w:val="Corpotesto"/>
        <w:spacing w:before="7"/>
        <w:rPr>
          <w:rFonts w:asciiTheme="majorEastAsia" w:hAnsiTheme="majorEastAsia" w:cstheme="majorEastAsia"/>
          <w:sz w:val="24"/>
          <w:szCs w:val="24"/>
        </w:rPr>
      </w:pPr>
    </w:p>
    <w:p w14:paraId="77181D3C" w14:textId="77777777" w:rsidR="00E86A4F" w:rsidRPr="00313F36" w:rsidRDefault="00511F3F">
      <w:pPr>
        <w:pStyle w:val="Titolo1"/>
        <w:spacing w:before="56"/>
        <w:ind w:right="133"/>
        <w:jc w:val="both"/>
        <w:rPr>
          <w:rFonts w:asciiTheme="majorEastAsia" w:hAnsiTheme="majorEastAsia" w:cstheme="majorEastAsia"/>
          <w:sz w:val="24"/>
          <w:szCs w:val="24"/>
        </w:rPr>
      </w:pPr>
      <w:r w:rsidRPr="00313F36">
        <w:rPr>
          <w:rFonts w:asciiTheme="majorEastAsia" w:hAnsiTheme="majorEastAsia" w:cstheme="majorEastAsia" w:hint="eastAsia"/>
          <w:sz w:val="24"/>
          <w:szCs w:val="24"/>
        </w:rPr>
        <w:t>ai sensi degli articoli 46 e 47 del DPR 28 dicembre 2000 n.445, consapevole delle sanzioni penali previste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dall'articolo 76 del medesimo DPR 445/2000, per le ipotesi di falsità in atti e dichiarazioni mendaci ivi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indicate,</w:t>
      </w:r>
    </w:p>
    <w:p w14:paraId="7326863F" w14:textId="77777777" w:rsidR="00E86A4F" w:rsidRPr="00313F36" w:rsidRDefault="00511F3F">
      <w:pPr>
        <w:spacing w:line="267" w:lineRule="exact"/>
        <w:ind w:left="1705" w:right="1705"/>
        <w:jc w:val="center"/>
        <w:rPr>
          <w:rFonts w:asciiTheme="majorEastAsia" w:hAnsiTheme="majorEastAsia" w:cstheme="majorEastAsia"/>
          <w:b/>
          <w:sz w:val="24"/>
          <w:szCs w:val="24"/>
        </w:rPr>
      </w:pPr>
      <w:r w:rsidRPr="00313F36">
        <w:rPr>
          <w:rFonts w:asciiTheme="majorEastAsia" w:hAnsiTheme="majorEastAsia" w:cstheme="majorEastAsia" w:hint="eastAsia"/>
          <w:b/>
          <w:sz w:val="24"/>
          <w:szCs w:val="24"/>
        </w:rPr>
        <w:t>DICHIARA:</w:t>
      </w:r>
    </w:p>
    <w:p w14:paraId="27F91E0B" w14:textId="77777777" w:rsidR="00E86A4F" w:rsidRPr="00313F36" w:rsidRDefault="00E86A4F" w:rsidP="00AA7A97">
      <w:pPr>
        <w:pStyle w:val="Corpotesto"/>
        <w:tabs>
          <w:tab w:val="left" w:pos="4285"/>
          <w:tab w:val="left" w:pos="9801"/>
        </w:tabs>
        <w:spacing w:before="56"/>
        <w:jc w:val="both"/>
        <w:rPr>
          <w:rFonts w:asciiTheme="majorEastAsia" w:hAnsiTheme="majorEastAsia" w:cstheme="majorEastAsia"/>
          <w:sz w:val="24"/>
          <w:szCs w:val="24"/>
        </w:rPr>
      </w:pPr>
    </w:p>
    <w:p w14:paraId="1B0248EA" w14:textId="2E37FE1C" w:rsidR="00E86A4F" w:rsidRPr="00313F36" w:rsidRDefault="00511F3F" w:rsidP="000310FF">
      <w:pPr>
        <w:pStyle w:val="Paragrafoelenco"/>
        <w:numPr>
          <w:ilvl w:val="0"/>
          <w:numId w:val="9"/>
        </w:numPr>
        <w:tabs>
          <w:tab w:val="left" w:pos="395"/>
        </w:tabs>
        <w:spacing w:before="120"/>
        <w:ind w:left="142" w:right="132" w:firstLine="0"/>
        <w:jc w:val="both"/>
        <w:rPr>
          <w:rFonts w:asciiTheme="majorEastAsia" w:hAnsiTheme="majorEastAsia" w:cstheme="majorEastAsia"/>
          <w:i/>
          <w:sz w:val="24"/>
          <w:szCs w:val="24"/>
        </w:rPr>
      </w:pPr>
      <w:r w:rsidRPr="00313F36">
        <w:rPr>
          <w:rFonts w:asciiTheme="majorEastAsia" w:hAnsiTheme="majorEastAsia" w:cstheme="majorEastAsia" w:hint="eastAsia"/>
          <w:sz w:val="24"/>
          <w:szCs w:val="24"/>
        </w:rPr>
        <w:t>di non trovarsi nelle condizioni di esclusione dalla partecipazione alle procedure di affidamento degli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appalti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pubblici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stipula</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dei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relativi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contratti</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previste</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dall</w:t>
      </w:r>
      <w:r w:rsidR="001A5A31">
        <w:rPr>
          <w:rFonts w:asciiTheme="majorEastAsia" w:hAnsiTheme="majorEastAsia" w:cstheme="majorEastAsia"/>
          <w:sz w:val="24"/>
          <w:szCs w:val="24"/>
        </w:rPr>
        <w:t>’</w:t>
      </w:r>
      <w:r w:rsidRPr="00313F36">
        <w:rPr>
          <w:rFonts w:asciiTheme="majorEastAsia" w:hAnsiTheme="majorEastAsia" w:cstheme="majorEastAsia" w:hint="eastAsia"/>
          <w:sz w:val="24"/>
          <w:szCs w:val="24"/>
        </w:rPr>
        <w:t>art.</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80</w:t>
      </w:r>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del</w:t>
      </w:r>
      <w:r w:rsidRPr="00313F36">
        <w:rPr>
          <w:rFonts w:asciiTheme="majorEastAsia" w:hAnsiTheme="majorEastAsia" w:cstheme="majorEastAsia" w:hint="eastAsia"/>
          <w:spacing w:val="1"/>
          <w:sz w:val="24"/>
          <w:szCs w:val="24"/>
        </w:rPr>
        <w:t xml:space="preserve"> </w:t>
      </w:r>
      <w:proofErr w:type="spellStart"/>
      <w:r w:rsidRPr="00313F36">
        <w:rPr>
          <w:rFonts w:asciiTheme="majorEastAsia" w:hAnsiTheme="majorEastAsia" w:cstheme="majorEastAsia" w:hint="eastAsia"/>
          <w:sz w:val="24"/>
          <w:szCs w:val="24"/>
        </w:rPr>
        <w:t>D.Lgs.</w:t>
      </w:r>
      <w:proofErr w:type="spellEnd"/>
      <w:r w:rsidRPr="00313F36">
        <w:rPr>
          <w:rFonts w:asciiTheme="majorEastAsia" w:hAnsiTheme="majorEastAsia" w:cstheme="majorEastAsia" w:hint="eastAsia"/>
          <w:spacing w:val="1"/>
          <w:sz w:val="24"/>
          <w:szCs w:val="24"/>
        </w:rPr>
        <w:t xml:space="preserve"> </w:t>
      </w:r>
      <w:r w:rsidRPr="00313F36">
        <w:rPr>
          <w:rFonts w:asciiTheme="majorEastAsia" w:hAnsiTheme="majorEastAsia" w:cstheme="majorEastAsia" w:hint="eastAsia"/>
          <w:sz w:val="24"/>
          <w:szCs w:val="24"/>
        </w:rPr>
        <w:t>50/2016</w:t>
      </w:r>
      <w:r w:rsidR="00AA7A97" w:rsidRPr="00313F36">
        <w:rPr>
          <w:rFonts w:asciiTheme="majorEastAsia" w:hAnsiTheme="majorEastAsia" w:cstheme="majorEastAsia" w:hint="eastAsia"/>
          <w:spacing w:val="1"/>
          <w:sz w:val="24"/>
          <w:szCs w:val="24"/>
        </w:rPr>
        <w:t>;</w:t>
      </w:r>
    </w:p>
    <w:p w14:paraId="41B40656" w14:textId="77777777" w:rsidR="00F429A1" w:rsidRPr="00313F36" w:rsidRDefault="00DD5776" w:rsidP="00313F36">
      <w:pPr>
        <w:pStyle w:val="Paragrafoelenco"/>
        <w:numPr>
          <w:ilvl w:val="0"/>
          <w:numId w:val="9"/>
        </w:numPr>
        <w:tabs>
          <w:tab w:val="left" w:pos="395"/>
        </w:tabs>
        <w:spacing w:before="120"/>
        <w:ind w:left="142" w:right="132" w:firstLine="0"/>
        <w:jc w:val="both"/>
        <w:rPr>
          <w:rFonts w:asciiTheme="majorEastAsia" w:hAnsiTheme="majorEastAsia" w:cstheme="majorEastAsia"/>
          <w:i/>
          <w:sz w:val="24"/>
          <w:szCs w:val="24"/>
        </w:rPr>
      </w:pPr>
      <w:r w:rsidRPr="00313F36">
        <w:rPr>
          <w:rFonts w:asciiTheme="majorEastAsia" w:hAnsiTheme="majorEastAsia" w:cstheme="majorEastAsia" w:hint="eastAsia"/>
          <w:iCs/>
          <w:sz w:val="24"/>
          <w:szCs w:val="24"/>
        </w:rPr>
        <w:t xml:space="preserve">di possedere i requisiti di cui al punto 2 </w:t>
      </w:r>
      <w:r w:rsidR="00313F36">
        <w:rPr>
          <w:rFonts w:asciiTheme="majorEastAsia" w:hAnsiTheme="majorEastAsia" w:cstheme="majorEastAsia"/>
          <w:iCs/>
          <w:sz w:val="24"/>
          <w:szCs w:val="24"/>
        </w:rPr>
        <w:t xml:space="preserve">(denominato Requisiti richiesti ai fini della presentazione della manifestazione di interesse) </w:t>
      </w:r>
      <w:r w:rsidRPr="00313F36">
        <w:rPr>
          <w:rFonts w:asciiTheme="majorEastAsia" w:hAnsiTheme="majorEastAsia" w:cstheme="majorEastAsia" w:hint="eastAsia"/>
          <w:iCs/>
          <w:sz w:val="24"/>
          <w:szCs w:val="24"/>
        </w:rPr>
        <w:t>de</w:t>
      </w:r>
      <w:r w:rsidR="00F429A1" w:rsidRPr="00313F36">
        <w:rPr>
          <w:rFonts w:asciiTheme="majorEastAsia" w:hAnsiTheme="majorEastAsia" w:cstheme="majorEastAsia" w:hint="eastAsia"/>
          <w:iCs/>
          <w:sz w:val="24"/>
          <w:szCs w:val="24"/>
        </w:rPr>
        <w:t>ll</w:t>
      </w:r>
      <w:r w:rsidR="00313F36">
        <w:rPr>
          <w:rFonts w:asciiTheme="majorEastAsia" w:hAnsiTheme="majorEastAsia" w:cstheme="majorEastAsia"/>
          <w:iCs/>
          <w:sz w:val="24"/>
          <w:szCs w:val="24"/>
        </w:rPr>
        <w:t>’</w:t>
      </w:r>
      <w:r w:rsidR="00F429A1" w:rsidRPr="00313F36">
        <w:rPr>
          <w:rFonts w:asciiTheme="majorEastAsia" w:hAnsiTheme="majorEastAsia" w:cstheme="majorEastAsia" w:hint="eastAsia"/>
          <w:iCs/>
          <w:sz w:val="24"/>
          <w:szCs w:val="24"/>
        </w:rPr>
        <w:t>avviso per la manifestazione di interesse</w:t>
      </w:r>
      <w:r w:rsidR="00313F36">
        <w:rPr>
          <w:rFonts w:asciiTheme="majorEastAsia" w:hAnsiTheme="majorEastAsia" w:cstheme="majorEastAsia"/>
          <w:sz w:val="24"/>
          <w:szCs w:val="24"/>
        </w:rPr>
        <w:t xml:space="preserve"> indicato in epigrafe</w:t>
      </w:r>
      <w:r w:rsidR="00313F36" w:rsidRPr="00313F36">
        <w:rPr>
          <w:rFonts w:asciiTheme="majorEastAsia" w:hAnsiTheme="majorEastAsia" w:cstheme="majorEastAsia" w:hint="eastAsia"/>
          <w:sz w:val="24"/>
          <w:szCs w:val="24"/>
        </w:rPr>
        <w:t>.</w:t>
      </w:r>
    </w:p>
    <w:p w14:paraId="3263D61A" w14:textId="77777777" w:rsidR="00AA7A97" w:rsidRDefault="00AA7A97" w:rsidP="00F429A1">
      <w:pPr>
        <w:pStyle w:val="Paragrafoelenco"/>
        <w:tabs>
          <w:tab w:val="left" w:pos="395"/>
        </w:tabs>
        <w:spacing w:before="120"/>
        <w:ind w:left="142" w:right="132"/>
        <w:jc w:val="left"/>
        <w:rPr>
          <w:iCs/>
          <w:sz w:val="20"/>
        </w:rPr>
      </w:pPr>
    </w:p>
    <w:p w14:paraId="4D9B7696" w14:textId="77777777" w:rsidR="006757B1" w:rsidRPr="00D43FA3" w:rsidRDefault="006757B1" w:rsidP="006757B1">
      <w:pPr>
        <w:ind w:left="142" w:right="129"/>
        <w:jc w:val="both"/>
        <w:rPr>
          <w:rFonts w:ascii="Times New Roman" w:hAnsi="Times New Roman"/>
          <w:sz w:val="24"/>
          <w:szCs w:val="24"/>
        </w:rPr>
      </w:pPr>
      <w:r w:rsidRPr="00D43FA3">
        <w:rPr>
          <w:rFonts w:ascii="Times New Roman" w:hAnsi="Times New Roman"/>
          <w:sz w:val="24"/>
          <w:szCs w:val="24"/>
        </w:rPr>
        <w:t>Luogo e data_________________</w:t>
      </w:r>
    </w:p>
    <w:p w14:paraId="602125D1" w14:textId="77777777" w:rsidR="006757B1" w:rsidRPr="00D43FA3" w:rsidRDefault="006757B1" w:rsidP="006757B1">
      <w:pPr>
        <w:spacing w:line="360" w:lineRule="auto"/>
        <w:ind w:left="142" w:right="129"/>
        <w:jc w:val="both"/>
        <w:rPr>
          <w:rFonts w:ascii="Times New Roman" w:eastAsia="Times New Roman" w:hAnsi="Times New Roman"/>
          <w:sz w:val="24"/>
          <w:szCs w:val="24"/>
          <w:lang w:eastAsia="it-IT"/>
        </w:rPr>
      </w:pPr>
    </w:p>
    <w:p w14:paraId="72B4AE25" w14:textId="77777777" w:rsidR="006757B1" w:rsidRPr="00D43FA3" w:rsidRDefault="006757B1" w:rsidP="006757B1">
      <w:pPr>
        <w:ind w:left="142" w:right="129"/>
        <w:jc w:val="both"/>
        <w:rPr>
          <w:rFonts w:ascii="Times New Roman" w:hAnsi="Times New Roman"/>
          <w:sz w:val="24"/>
          <w:szCs w:val="24"/>
        </w:rPr>
      </w:pPr>
    </w:p>
    <w:p w14:paraId="1889BEE0" w14:textId="77777777" w:rsidR="006757B1" w:rsidRPr="00D43FA3" w:rsidRDefault="006757B1" w:rsidP="006757B1">
      <w:pPr>
        <w:ind w:left="142" w:right="129"/>
        <w:jc w:val="center"/>
        <w:rPr>
          <w:rFonts w:ascii="Times New Roman" w:hAnsi="Times New Roman"/>
          <w:sz w:val="24"/>
          <w:szCs w:val="24"/>
        </w:rPr>
      </w:pPr>
      <w:r w:rsidRPr="00D43FA3">
        <w:rPr>
          <w:rFonts w:ascii="Times New Roman" w:hAnsi="Times New Roman"/>
          <w:sz w:val="24"/>
          <w:szCs w:val="24"/>
        </w:rPr>
        <w:t>Il Dichiarante</w:t>
      </w:r>
    </w:p>
    <w:p w14:paraId="776C4D8C" w14:textId="77777777" w:rsidR="006757B1" w:rsidRPr="00D43FA3" w:rsidRDefault="006757B1" w:rsidP="006757B1">
      <w:pPr>
        <w:ind w:left="142" w:right="129"/>
        <w:jc w:val="center"/>
        <w:rPr>
          <w:rFonts w:ascii="Times New Roman" w:hAnsi="Times New Roman"/>
          <w:sz w:val="24"/>
          <w:szCs w:val="24"/>
        </w:rPr>
      </w:pPr>
      <w:r w:rsidRPr="00D43FA3">
        <w:rPr>
          <w:rFonts w:ascii="Times New Roman" w:hAnsi="Times New Roman"/>
          <w:sz w:val="24"/>
          <w:szCs w:val="24"/>
        </w:rPr>
        <w:t>______</w:t>
      </w:r>
      <w:r w:rsidRPr="00D43FA3">
        <w:rPr>
          <w:rFonts w:ascii="Times New Roman" w:hAnsi="Times New Roman"/>
          <w:b/>
          <w:i/>
          <w:sz w:val="24"/>
          <w:szCs w:val="24"/>
        </w:rPr>
        <w:t>Firma digitale</w:t>
      </w:r>
      <w:r w:rsidRPr="00D43FA3">
        <w:rPr>
          <w:rFonts w:ascii="Times New Roman" w:hAnsi="Times New Roman"/>
          <w:sz w:val="24"/>
          <w:szCs w:val="24"/>
        </w:rPr>
        <w:t>______</w:t>
      </w:r>
    </w:p>
    <w:p w14:paraId="3B197A83" w14:textId="392B4FA6" w:rsidR="00313F36" w:rsidRDefault="00313F36" w:rsidP="006757B1">
      <w:pPr>
        <w:pStyle w:val="Paragrafoelenco"/>
        <w:tabs>
          <w:tab w:val="left" w:pos="395"/>
        </w:tabs>
        <w:spacing w:before="120"/>
        <w:ind w:left="142" w:right="132"/>
        <w:jc w:val="left"/>
        <w:rPr>
          <w:rFonts w:asciiTheme="majorEastAsia" w:hAnsiTheme="majorEastAsia" w:cstheme="majorEastAsia"/>
          <w:iCs/>
          <w:sz w:val="24"/>
          <w:szCs w:val="24"/>
        </w:rPr>
      </w:pPr>
    </w:p>
    <w:p w14:paraId="7F191119"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7FB1E131"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66191168"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6ABD9F51" w14:textId="77777777" w:rsidR="00573485" w:rsidRDefault="00573485" w:rsidP="006757B1">
      <w:pPr>
        <w:pStyle w:val="Paragrafoelenco"/>
        <w:tabs>
          <w:tab w:val="left" w:pos="395"/>
        </w:tabs>
        <w:spacing w:before="120"/>
        <w:ind w:left="142" w:right="132"/>
        <w:jc w:val="left"/>
        <w:rPr>
          <w:rFonts w:asciiTheme="majorEastAsia" w:hAnsiTheme="majorEastAsia" w:cstheme="majorEastAsia"/>
          <w:iCs/>
          <w:sz w:val="24"/>
          <w:szCs w:val="24"/>
        </w:rPr>
      </w:pPr>
    </w:p>
    <w:p w14:paraId="3DE8164D" w14:textId="77777777" w:rsidR="00E0012C" w:rsidRPr="00573485" w:rsidRDefault="00E0012C" w:rsidP="00E0012C">
      <w:pPr>
        <w:pStyle w:val="NormaleWeb"/>
        <w:jc w:val="both"/>
        <w:rPr>
          <w:rFonts w:asciiTheme="majorEastAsia" w:hAnsiTheme="majorEastAsia" w:cstheme="majorEastAsia"/>
          <w:color w:val="000000"/>
          <w:sz w:val="22"/>
          <w:szCs w:val="22"/>
          <w:shd w:val="clear" w:color="auto" w:fill="F5FDFE"/>
        </w:rPr>
      </w:pPr>
      <w:bookmarkStart w:id="0" w:name="080"/>
      <w:r w:rsidRPr="00573485">
        <w:rPr>
          <w:rFonts w:asciiTheme="majorEastAsia" w:hAnsiTheme="majorEastAsia" w:cstheme="majorEastAsia" w:hint="eastAsia"/>
          <w:b/>
          <w:bCs/>
          <w:color w:val="000000"/>
          <w:sz w:val="22"/>
          <w:szCs w:val="22"/>
          <w:shd w:val="clear" w:color="auto" w:fill="F5FDFE"/>
        </w:rPr>
        <w:lastRenderedPageBreak/>
        <w:t>Art. 80</w:t>
      </w:r>
      <w:bookmarkEnd w:id="0"/>
      <w:r w:rsidRPr="00573485">
        <w:rPr>
          <w:rFonts w:asciiTheme="majorEastAsia" w:hAnsiTheme="majorEastAsia" w:cstheme="majorEastAsia" w:hint="eastAsia"/>
          <w:b/>
          <w:bCs/>
          <w:color w:val="000000"/>
          <w:sz w:val="22"/>
          <w:szCs w:val="22"/>
          <w:shd w:val="clear" w:color="auto" w:fill="F5FDFE"/>
        </w:rPr>
        <w:t>. (Motivi di esclusione)</w:t>
      </w:r>
      <w:r>
        <w:rPr>
          <w:rStyle w:val="apple-converted-space"/>
          <w:rFonts w:asciiTheme="majorEastAsia" w:hAnsiTheme="majorEastAsia" w:cstheme="majorEastAsia" w:hint="eastAsia"/>
          <w:b/>
          <w:bCs/>
          <w:color w:val="000000"/>
          <w:sz w:val="22"/>
          <w:szCs w:val="22"/>
          <w:shd w:val="clear" w:color="auto" w:fill="F5FDFE"/>
        </w:rPr>
        <w:t xml:space="preserve"> </w:t>
      </w:r>
    </w:p>
    <w:p w14:paraId="0BAC69C2"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1. Costituisce motivo di esclusione di un operatore economico dalla partecipazione a una procedura d'appalto o concessione, la condanna con sentenza definitiva o decreto penale di condanna divenuto irrevocabile o sentenza di applicazione della pena su richiesta ai sensi dell'</w:t>
      </w:r>
      <w:hyperlink r:id="rId7" w:anchor="444" w:history="1">
        <w:r w:rsidRPr="00116BD6">
          <w:rPr>
            <w:rStyle w:val="Collegamentoipertestuale"/>
            <w:rFonts w:asciiTheme="majorEastAsia" w:hAnsiTheme="majorEastAsia" w:cstheme="majorEastAsia" w:hint="eastAsia"/>
            <w:sz w:val="22"/>
            <w:szCs w:val="22"/>
          </w:rPr>
          <w:t>articolo 444 del codice di procedura penale</w:t>
        </w:r>
      </w:hyperlink>
      <w:r w:rsidRPr="00116BD6">
        <w:rPr>
          <w:rFonts w:asciiTheme="majorEastAsia" w:hAnsiTheme="majorEastAsia" w:cstheme="majorEastAsia" w:hint="eastAsia"/>
          <w:color w:val="000000"/>
          <w:sz w:val="22"/>
          <w:szCs w:val="22"/>
        </w:rPr>
        <w:t>, per uno dei seguenti reati:</w:t>
      </w:r>
      <w:r>
        <w:rPr>
          <w:rStyle w:val="apple-converted-space"/>
          <w:rFonts w:asciiTheme="majorEastAsia" w:hAnsiTheme="majorEastAsia" w:cstheme="majorEastAsia" w:hint="eastAsia"/>
          <w:color w:val="000000"/>
          <w:sz w:val="22"/>
          <w:szCs w:val="22"/>
        </w:rPr>
        <w:t xml:space="preserve"> </w:t>
      </w:r>
      <w:r>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(alinea modificato dall'art. 10, comma 1, della legge n. 238 del 2021)</w:t>
      </w:r>
    </w:p>
    <w:p w14:paraId="7061EC86" w14:textId="77777777" w:rsidR="00E0012C" w:rsidRPr="00116BD6" w:rsidRDefault="00E0012C" w:rsidP="00E0012C">
      <w:pPr>
        <w:pStyle w:val="NormaleWeb"/>
        <w:jc w:val="both"/>
        <w:rPr>
          <w:rFonts w:asciiTheme="majorEastAsia" w:hAnsiTheme="majorEastAsia" w:cstheme="majorEastAsia"/>
          <w:color w:val="000000"/>
          <w:sz w:val="22"/>
          <w:szCs w:val="22"/>
          <w:shd w:val="clear" w:color="auto" w:fill="F5FDFE"/>
        </w:rPr>
      </w:pPr>
      <w:r w:rsidRPr="00116BD6">
        <w:rPr>
          <w:rFonts w:asciiTheme="majorEastAsia" w:hAnsiTheme="majorEastAsia" w:cstheme="majorEastAsia" w:hint="eastAsia"/>
          <w:color w:val="000000"/>
          <w:sz w:val="22"/>
          <w:szCs w:val="22"/>
          <w:shd w:val="clear" w:color="auto" w:fill="F5FDFE"/>
        </w:rPr>
        <w:t>a) delitti, consumati o tentati, di cui agli</w:t>
      </w:r>
      <w:r>
        <w:rPr>
          <w:rStyle w:val="apple-converted-space"/>
          <w:rFonts w:asciiTheme="majorEastAsia" w:hAnsiTheme="majorEastAsia" w:cstheme="majorEastAsia" w:hint="eastAsia"/>
          <w:color w:val="000000"/>
          <w:sz w:val="22"/>
          <w:szCs w:val="22"/>
          <w:shd w:val="clear" w:color="auto" w:fill="F5FDFE"/>
        </w:rPr>
        <w:t xml:space="preserve"> </w:t>
      </w:r>
      <w:hyperlink r:id="rId8" w:anchor="416" w:history="1">
        <w:r w:rsidRPr="00116BD6">
          <w:rPr>
            <w:rStyle w:val="Collegamentoipertestuale"/>
            <w:rFonts w:asciiTheme="majorEastAsia" w:hAnsiTheme="majorEastAsia" w:cstheme="majorEastAsia" w:hint="eastAsia"/>
            <w:sz w:val="22"/>
            <w:szCs w:val="22"/>
            <w:shd w:val="clear" w:color="auto" w:fill="F5FDFE"/>
          </w:rPr>
          <w:t>articoli 416, 416-bis del codice penale</w:t>
        </w:r>
      </w:hyperlink>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ovvero delitti commessi avvalendosi delle condizioni previste dal predetto</w:t>
      </w:r>
      <w:r>
        <w:rPr>
          <w:rStyle w:val="apple-converted-space"/>
          <w:rFonts w:asciiTheme="majorEastAsia" w:hAnsiTheme="majorEastAsia" w:cstheme="majorEastAsia" w:hint="eastAsia"/>
          <w:color w:val="000000"/>
          <w:sz w:val="22"/>
          <w:szCs w:val="22"/>
          <w:shd w:val="clear" w:color="auto" w:fill="F5FDFE"/>
        </w:rPr>
        <w:t xml:space="preserve">  </w:t>
      </w:r>
      <w:hyperlink r:id="rId9" w:anchor="416-bis" w:history="1">
        <w:r w:rsidRPr="00116BD6">
          <w:rPr>
            <w:rStyle w:val="Collegamentoipertestuale"/>
            <w:rFonts w:asciiTheme="majorEastAsia" w:hAnsiTheme="majorEastAsia" w:cstheme="majorEastAsia" w:hint="eastAsia"/>
            <w:sz w:val="22"/>
            <w:szCs w:val="22"/>
            <w:shd w:val="clear" w:color="auto" w:fill="F5FDFE"/>
          </w:rPr>
          <w:t>articolo 416-bis</w:t>
        </w:r>
      </w:hyperlink>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ovvero al fine di agevolare l'</w:t>
      </w:r>
      <w:r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delle associazioni previste dallo stesso articolo, </w:t>
      </w:r>
      <w:r w:rsidRPr="00116BD6">
        <w:rPr>
          <w:rFonts w:asciiTheme="majorEastAsia" w:hAnsiTheme="majorEastAsia" w:cstheme="majorEastAsia"/>
          <w:color w:val="000000"/>
          <w:sz w:val="22"/>
          <w:szCs w:val="22"/>
          <w:shd w:val="clear" w:color="auto" w:fill="F5FDFE"/>
        </w:rPr>
        <w:t>nonché</w:t>
      </w:r>
      <w:r w:rsidRPr="00116BD6">
        <w:rPr>
          <w:rFonts w:asciiTheme="majorEastAsia" w:hAnsiTheme="majorEastAsia" w:cstheme="majorEastAsia" w:hint="eastAsia"/>
          <w:color w:val="000000"/>
          <w:sz w:val="22"/>
          <w:szCs w:val="22"/>
          <w:shd w:val="clear" w:color="auto" w:fill="F5FDFE"/>
        </w:rPr>
        <w:t xml:space="preserve"> per i delitti, consumati o tentati, previsti dall'</w:t>
      </w:r>
      <w:hyperlink r:id="rId10" w:anchor="y_1990_0309" w:history="1">
        <w:r w:rsidRPr="00116BD6">
          <w:rPr>
            <w:rStyle w:val="Collegamentoipertestuale"/>
            <w:rFonts w:asciiTheme="majorEastAsia" w:hAnsiTheme="majorEastAsia" w:cstheme="majorEastAsia" w:hint="eastAsia"/>
            <w:sz w:val="22"/>
            <w:szCs w:val="22"/>
            <w:shd w:val="clear" w:color="auto" w:fill="F5FDFE"/>
          </w:rPr>
          <w:t>articolo 74 del decreto del Presidente della Repubblica 9 ottobre 1990, n. 309</w:t>
        </w:r>
      </w:hyperlink>
      <w:r w:rsidRPr="00116BD6">
        <w:rPr>
          <w:rFonts w:asciiTheme="majorEastAsia" w:hAnsiTheme="majorEastAsia" w:cstheme="majorEastAsia" w:hint="eastAsia"/>
          <w:color w:val="000000"/>
          <w:sz w:val="22"/>
          <w:szCs w:val="22"/>
          <w:shd w:val="clear" w:color="auto" w:fill="F5FDFE"/>
        </w:rPr>
        <w:t>, dall</w:t>
      </w:r>
      <w:r>
        <w:rPr>
          <w:rFonts w:asciiTheme="majorEastAsia" w:eastAsia="SimSun" w:hAnsiTheme="majorEastAsia" w:cstheme="majorEastAsia"/>
          <w:color w:val="000000"/>
          <w:sz w:val="22"/>
          <w:szCs w:val="22"/>
          <w:shd w:val="clear" w:color="auto" w:fill="F5FDFE"/>
        </w:rPr>
        <w:t>’</w:t>
      </w:r>
      <w:hyperlink r:id="rId11" w:anchor="y_1973_0043" w:history="1">
        <w:r w:rsidRPr="00116BD6">
          <w:rPr>
            <w:rStyle w:val="Collegamentoipertestuale"/>
            <w:rFonts w:asciiTheme="majorEastAsia" w:hAnsiTheme="majorEastAsia" w:cstheme="majorEastAsia" w:hint="eastAsia"/>
            <w:sz w:val="22"/>
            <w:szCs w:val="22"/>
            <w:shd w:val="clear" w:color="auto" w:fill="F5FDFE"/>
          </w:rPr>
          <w:t>articolo 291-quater del decreto del Presidente della Repubblica 23 gennaio 1973, n. 43</w:t>
        </w:r>
      </w:hyperlink>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t>e dall'</w:t>
      </w:r>
      <w:hyperlink r:id="rId12" w:anchor="260" w:history="1">
        <w:r w:rsidRPr="00116BD6">
          <w:rPr>
            <w:rStyle w:val="Collegamentoipertestuale"/>
            <w:rFonts w:asciiTheme="majorEastAsia" w:hAnsiTheme="majorEastAsia" w:cstheme="majorEastAsia" w:hint="eastAsia"/>
            <w:sz w:val="22"/>
            <w:szCs w:val="22"/>
            <w:shd w:val="clear" w:color="auto" w:fill="F5FDFE"/>
          </w:rPr>
          <w:t>articolo 260 del decreto legislativo 3 aprile 2006, n. 152</w:t>
        </w:r>
      </w:hyperlink>
      <w:r w:rsidRPr="00116BD6">
        <w:rPr>
          <w:rFonts w:asciiTheme="majorEastAsia" w:hAnsiTheme="majorEastAsia" w:cstheme="majorEastAsia" w:hint="eastAsia"/>
          <w:color w:val="000000"/>
          <w:sz w:val="22"/>
          <w:szCs w:val="22"/>
          <w:shd w:val="clear" w:color="auto" w:fill="F5FDFE"/>
        </w:rPr>
        <w:t>, in quanto riconducibili alla partecipazione a un'organizzazione criminale, quale definita all'articolo 2 della decisione quadro 2008/841/GAI del Consiglio;</w:t>
      </w:r>
      <w:r>
        <w:rPr>
          <w:rStyle w:val="apple-converted-space"/>
          <w:rFonts w:asciiTheme="majorEastAsia" w:hAnsiTheme="majorEastAsia" w:cstheme="majorEastAsia" w:hint="eastAsia"/>
          <w:color w:val="000000"/>
          <w:sz w:val="22"/>
          <w:szCs w:val="22"/>
          <w:shd w:val="clear" w:color="auto" w:fill="F5FDFE"/>
        </w:rPr>
        <w:t xml:space="preserve"> </w:t>
      </w:r>
      <w:r>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b) delitti, consumati o tentati, di cui agli</w:t>
      </w:r>
      <w:r>
        <w:rPr>
          <w:rStyle w:val="apple-converted-space"/>
          <w:rFonts w:asciiTheme="majorEastAsia" w:hAnsiTheme="majorEastAsia" w:cstheme="majorEastAsia" w:hint="eastAsia"/>
          <w:color w:val="000000"/>
          <w:sz w:val="22"/>
          <w:szCs w:val="22"/>
          <w:shd w:val="clear" w:color="auto" w:fill="F5FDFE"/>
        </w:rPr>
        <w:t xml:space="preserve"> </w:t>
      </w:r>
      <w:hyperlink r:id="rId13" w:anchor="317" w:history="1">
        <w:r w:rsidRPr="00116BD6">
          <w:rPr>
            <w:rStyle w:val="Collegamentoipertestuale"/>
            <w:rFonts w:asciiTheme="majorEastAsia" w:hAnsiTheme="majorEastAsia" w:cstheme="majorEastAsia" w:hint="eastAsia"/>
            <w:sz w:val="22"/>
            <w:szCs w:val="22"/>
            <w:shd w:val="clear" w:color="auto" w:fill="F5FDFE"/>
          </w:rPr>
          <w:t>articoli 317, 318, 319, 319-ter, 319-quater, 320, 321, 322, 322-bis</w:t>
        </w:r>
      </w:hyperlink>
      <w:r w:rsidRPr="00116BD6">
        <w:rPr>
          <w:rFonts w:asciiTheme="majorEastAsia" w:hAnsiTheme="majorEastAsia" w:cstheme="majorEastAsia" w:hint="eastAsia"/>
          <w:color w:val="000000"/>
          <w:sz w:val="22"/>
          <w:szCs w:val="22"/>
          <w:shd w:val="clear" w:color="auto" w:fill="F5FDFE"/>
        </w:rPr>
        <w:t>,</w:t>
      </w:r>
      <w:r>
        <w:rPr>
          <w:rStyle w:val="apple-converted-space"/>
          <w:rFonts w:asciiTheme="majorEastAsia" w:hAnsiTheme="majorEastAsia" w:cstheme="majorEastAsia" w:hint="eastAsia"/>
          <w:color w:val="000000"/>
          <w:sz w:val="22"/>
          <w:szCs w:val="22"/>
          <w:shd w:val="clear" w:color="auto" w:fill="F5FDFE"/>
        </w:rPr>
        <w:t xml:space="preserve"> </w:t>
      </w:r>
      <w:hyperlink r:id="rId14" w:anchor="346-bis" w:history="1">
        <w:r w:rsidRPr="00116BD6">
          <w:rPr>
            <w:rStyle w:val="Collegamentoipertestuale"/>
            <w:rFonts w:asciiTheme="majorEastAsia" w:hAnsiTheme="majorEastAsia" w:cstheme="majorEastAsia" w:hint="eastAsia"/>
            <w:sz w:val="22"/>
            <w:szCs w:val="22"/>
            <w:shd w:val="clear" w:color="auto" w:fill="F5FDFE"/>
          </w:rPr>
          <w:t>346-bis</w:t>
        </w:r>
      </w:hyperlink>
      <w:r w:rsidRPr="00116BD6">
        <w:rPr>
          <w:rFonts w:asciiTheme="majorEastAsia" w:hAnsiTheme="majorEastAsia" w:cstheme="majorEastAsia" w:hint="eastAsia"/>
          <w:color w:val="000000"/>
          <w:sz w:val="22"/>
          <w:szCs w:val="22"/>
          <w:shd w:val="clear" w:color="auto" w:fill="F5FDFE"/>
        </w:rPr>
        <w:t>,</w:t>
      </w:r>
      <w:r>
        <w:rPr>
          <w:rStyle w:val="apple-converted-space"/>
          <w:rFonts w:asciiTheme="majorEastAsia" w:hAnsiTheme="majorEastAsia" w:cstheme="majorEastAsia" w:hint="eastAsia"/>
          <w:color w:val="000000"/>
          <w:sz w:val="22"/>
          <w:szCs w:val="22"/>
          <w:shd w:val="clear" w:color="auto" w:fill="F5FDFE"/>
        </w:rPr>
        <w:t xml:space="preserve"> </w:t>
      </w:r>
      <w:hyperlink r:id="rId15" w:anchor="353" w:history="1">
        <w:r w:rsidRPr="00116BD6">
          <w:rPr>
            <w:rStyle w:val="Collegamentoipertestuale"/>
            <w:rFonts w:asciiTheme="majorEastAsia" w:hAnsiTheme="majorEastAsia" w:cstheme="majorEastAsia" w:hint="eastAsia"/>
            <w:sz w:val="22"/>
            <w:szCs w:val="22"/>
            <w:shd w:val="clear" w:color="auto" w:fill="F5FDFE"/>
          </w:rPr>
          <w:t>353, 353-bis, 354, 355 e 356 del codice penale</w:t>
        </w:r>
      </w:hyperlink>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color w:val="000000"/>
          <w:sz w:val="22"/>
          <w:szCs w:val="22"/>
          <w:shd w:val="clear" w:color="auto" w:fill="F5FDFE"/>
        </w:rPr>
        <w:t>nonché</w:t>
      </w:r>
      <w:r w:rsidRPr="00116BD6">
        <w:rPr>
          <w:rFonts w:asciiTheme="majorEastAsia" w:hAnsiTheme="majorEastAsia" w:cstheme="majorEastAsia" w:hint="eastAsia"/>
          <w:color w:val="000000"/>
          <w:sz w:val="22"/>
          <w:szCs w:val="22"/>
          <w:shd w:val="clear" w:color="auto" w:fill="F5FDFE"/>
        </w:rPr>
        <w:t>é</w:t>
      </w:r>
      <w:r w:rsidRPr="00116BD6">
        <w:rPr>
          <w:rFonts w:asciiTheme="majorEastAsia" w:hAnsiTheme="majorEastAsia" w:cstheme="majorEastAsia" w:hint="eastAsia"/>
          <w:color w:val="000000"/>
          <w:sz w:val="22"/>
          <w:szCs w:val="22"/>
          <w:shd w:val="clear" w:color="auto" w:fill="F5FDFE"/>
        </w:rPr>
        <w:t xml:space="preserve"> all</w:t>
      </w:r>
      <w:r>
        <w:rPr>
          <w:rFonts w:asciiTheme="majorEastAsia" w:eastAsia="SimSun" w:hAnsiTheme="majorEastAsia" w:cstheme="majorEastAsia"/>
          <w:color w:val="000000"/>
          <w:sz w:val="22"/>
          <w:szCs w:val="22"/>
          <w:shd w:val="clear" w:color="auto" w:fill="F5FDFE"/>
        </w:rPr>
        <w:t>’</w:t>
      </w:r>
      <w:hyperlink r:id="rId16" w:anchor="2635" w:history="1">
        <w:r w:rsidRPr="00116BD6">
          <w:rPr>
            <w:rStyle w:val="Collegamentoipertestuale"/>
            <w:rFonts w:asciiTheme="majorEastAsia" w:hAnsiTheme="majorEastAsia" w:cstheme="majorEastAsia" w:hint="eastAsia"/>
            <w:sz w:val="22"/>
            <w:szCs w:val="22"/>
            <w:shd w:val="clear" w:color="auto" w:fill="F5FDFE"/>
          </w:rPr>
          <w:t>articolo 2635 del codice civile</w:t>
        </w:r>
      </w:hyperlink>
      <w:r w:rsidRPr="00116BD6">
        <w:rPr>
          <w:rFonts w:asciiTheme="majorEastAsia" w:hAnsiTheme="majorEastAsia" w:cstheme="majorEastAsia" w:hint="eastAsia"/>
          <w:color w:val="000000"/>
          <w:sz w:val="22"/>
          <w:szCs w:val="22"/>
          <w:shd w:val="clear" w:color="auto" w:fill="F5FDFE"/>
        </w:rPr>
        <w:t>;</w:t>
      </w:r>
      <w:r>
        <w:rPr>
          <w:rStyle w:val="apple-converted-space"/>
          <w:rFonts w:asciiTheme="majorEastAsia" w:hAnsiTheme="majorEastAsia" w:cstheme="majorEastAsia" w:hint="eastAsia"/>
          <w:color w:val="000000"/>
          <w:sz w:val="22"/>
          <w:szCs w:val="22"/>
          <w:shd w:val="clear" w:color="auto" w:fill="F5FDFE"/>
        </w:rPr>
        <w:t xml:space="preserve"> </w:t>
      </w:r>
      <w:r>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b-bis) false comunicazioni sociali di cui agli</w:t>
      </w:r>
      <w:r>
        <w:rPr>
          <w:rStyle w:val="apple-converted-space"/>
          <w:rFonts w:asciiTheme="majorEastAsia" w:hAnsiTheme="majorEastAsia" w:cstheme="majorEastAsia" w:hint="eastAsia"/>
          <w:color w:val="000000"/>
          <w:sz w:val="22"/>
          <w:szCs w:val="22"/>
          <w:shd w:val="clear" w:color="auto" w:fill="F5FDFE"/>
        </w:rPr>
        <w:t xml:space="preserve"> </w:t>
      </w:r>
      <w:hyperlink r:id="rId17" w:anchor="2621" w:history="1">
        <w:r w:rsidRPr="00116BD6">
          <w:rPr>
            <w:rStyle w:val="Collegamentoipertestuale"/>
            <w:rFonts w:asciiTheme="majorEastAsia" w:hAnsiTheme="majorEastAsia" w:cstheme="majorEastAsia" w:hint="eastAsia"/>
            <w:sz w:val="22"/>
            <w:szCs w:val="22"/>
            <w:shd w:val="clear" w:color="auto" w:fill="F5FDFE"/>
          </w:rPr>
          <w:t>articoli 2621 e 2622 del codice civile</w:t>
        </w:r>
      </w:hyperlink>
      <w:r w:rsidRPr="00116BD6">
        <w:rPr>
          <w:rFonts w:asciiTheme="majorEastAsia" w:hAnsiTheme="majorEastAsia" w:cstheme="majorEastAsia" w:hint="eastAsia"/>
          <w:color w:val="000000"/>
          <w:sz w:val="22"/>
          <w:szCs w:val="22"/>
          <w:shd w:val="clear" w:color="auto" w:fill="F5FDFE"/>
        </w:rPr>
        <w:t>;</w:t>
      </w:r>
      <w:r>
        <w:rPr>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 xml:space="preserve">c) frode ai sensi dell'articolo 1 della convenzione relativa alla tutela degli interessi finanziari delle </w:t>
      </w:r>
      <w:r w:rsidRPr="00116BD6">
        <w:rPr>
          <w:rFonts w:asciiTheme="majorEastAsia" w:hAnsiTheme="majorEastAsia" w:cstheme="majorEastAsia"/>
          <w:color w:val="000000"/>
          <w:sz w:val="22"/>
          <w:szCs w:val="22"/>
          <w:shd w:val="clear" w:color="auto" w:fill="F5FDFE"/>
        </w:rPr>
        <w:t>Comunità</w:t>
      </w:r>
      <w:r w:rsidRPr="00116BD6">
        <w:rPr>
          <w:rFonts w:asciiTheme="majorEastAsia" w:hAnsiTheme="majorEastAsia" w:cstheme="majorEastAsia" w:hint="eastAsia"/>
          <w:color w:val="000000"/>
          <w:sz w:val="22"/>
          <w:szCs w:val="22"/>
          <w:shd w:val="clear" w:color="auto" w:fill="F5FDFE"/>
        </w:rPr>
        <w:t xml:space="preserve"> europee;</w:t>
      </w:r>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 xml:space="preserve">d) delitti, consumati o tentati, commessi con </w:t>
      </w:r>
      <w:r w:rsidRPr="00116BD6">
        <w:rPr>
          <w:rFonts w:asciiTheme="majorEastAsia" w:hAnsiTheme="majorEastAsia" w:cstheme="majorEastAsia"/>
          <w:color w:val="000000"/>
          <w:sz w:val="22"/>
          <w:szCs w:val="22"/>
          <w:shd w:val="clear" w:color="auto" w:fill="F5FDFE"/>
        </w:rPr>
        <w:t>finalità</w:t>
      </w:r>
      <w:r w:rsidRPr="00116BD6">
        <w:rPr>
          <w:rFonts w:asciiTheme="majorEastAsia" w:hAnsiTheme="majorEastAsia" w:cstheme="majorEastAsia" w:hint="eastAsia"/>
          <w:color w:val="000000"/>
          <w:sz w:val="22"/>
          <w:szCs w:val="22"/>
          <w:shd w:val="clear" w:color="auto" w:fill="F5FDFE"/>
        </w:rPr>
        <w:t xml:space="preserve"> di terrorismo, anche internazionale, e di eversione dell'ordine costituzionale reati terroristici o reati connessi alle </w:t>
      </w:r>
      <w:r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terroristiche;</w:t>
      </w:r>
      <w:r>
        <w:rPr>
          <w:rStyle w:val="apple-converted-space"/>
          <w:rFonts w:asciiTheme="majorEastAsia" w:hAnsiTheme="majorEastAsia" w:cstheme="majorEastAsia" w:hint="eastAsia"/>
          <w:color w:val="000000"/>
          <w:sz w:val="22"/>
          <w:szCs w:val="22"/>
          <w:shd w:val="clear" w:color="auto" w:fill="F5FDFE"/>
        </w:rPr>
        <w:t xml:space="preserve"> </w:t>
      </w:r>
      <w:r>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t>e) delitti di cui agli</w:t>
      </w:r>
      <w:r>
        <w:rPr>
          <w:rStyle w:val="apple-converted-space"/>
          <w:rFonts w:asciiTheme="majorEastAsia" w:hAnsiTheme="majorEastAsia" w:cstheme="majorEastAsia" w:hint="eastAsia"/>
          <w:color w:val="000000"/>
          <w:sz w:val="22"/>
          <w:szCs w:val="22"/>
          <w:shd w:val="clear" w:color="auto" w:fill="F5FDFE"/>
        </w:rPr>
        <w:t xml:space="preserve"> </w:t>
      </w:r>
      <w:hyperlink r:id="rId18" w:anchor="648-bis" w:history="1">
        <w:r w:rsidRPr="00116BD6">
          <w:rPr>
            <w:rStyle w:val="Collegamentoipertestuale"/>
            <w:rFonts w:asciiTheme="majorEastAsia" w:hAnsiTheme="majorEastAsia" w:cstheme="majorEastAsia" w:hint="eastAsia"/>
            <w:sz w:val="22"/>
            <w:szCs w:val="22"/>
            <w:shd w:val="clear" w:color="auto" w:fill="F5FDFE"/>
          </w:rPr>
          <w:t>articoli 648-bis, 648-ter e 648-ter.1 del codice penale</w:t>
        </w:r>
      </w:hyperlink>
      <w:r w:rsidRPr="00116BD6">
        <w:rPr>
          <w:rFonts w:asciiTheme="majorEastAsia" w:hAnsiTheme="majorEastAsia" w:cstheme="majorEastAsia" w:hint="eastAsia"/>
          <w:color w:val="000000"/>
          <w:sz w:val="22"/>
          <w:szCs w:val="22"/>
          <w:shd w:val="clear" w:color="auto" w:fill="F5FDFE"/>
        </w:rPr>
        <w:t xml:space="preserve">, riciclaggio di proventi di </w:t>
      </w:r>
      <w:r w:rsidRPr="00116BD6">
        <w:rPr>
          <w:rFonts w:asciiTheme="majorEastAsia" w:hAnsiTheme="majorEastAsia" w:cstheme="majorEastAsia"/>
          <w:color w:val="000000"/>
          <w:sz w:val="22"/>
          <w:szCs w:val="22"/>
          <w:shd w:val="clear" w:color="auto" w:fill="F5FDFE"/>
        </w:rPr>
        <w:t>attività</w:t>
      </w:r>
      <w:r w:rsidRPr="00116BD6">
        <w:rPr>
          <w:rFonts w:asciiTheme="majorEastAsia" w:hAnsiTheme="majorEastAsia" w:cstheme="majorEastAsia" w:hint="eastAsia"/>
          <w:color w:val="000000"/>
          <w:sz w:val="22"/>
          <w:szCs w:val="22"/>
          <w:shd w:val="clear" w:color="auto" w:fill="F5FDFE"/>
        </w:rPr>
        <w:t xml:space="preserve"> criminose o finanziamento del terrorismo, quali definiti all'</w:t>
      </w:r>
      <w:hyperlink r:id="rId19" w:anchor="y_2007_0109" w:history="1">
        <w:r w:rsidRPr="00116BD6">
          <w:rPr>
            <w:rStyle w:val="Collegamentoipertestuale"/>
            <w:rFonts w:asciiTheme="majorEastAsia" w:hAnsiTheme="majorEastAsia" w:cstheme="majorEastAsia" w:hint="eastAsia"/>
            <w:sz w:val="22"/>
            <w:szCs w:val="22"/>
            <w:shd w:val="clear" w:color="auto" w:fill="F5FDFE"/>
          </w:rPr>
          <w:t>articolo 1 del decreto legislativo 22 giugno 2007, n. 109</w:t>
        </w:r>
      </w:hyperlink>
      <w:r w:rsidRPr="00116BD6">
        <w:rPr>
          <w:rFonts w:asciiTheme="majorEastAsia" w:hAnsiTheme="majorEastAsia" w:cstheme="majorEastAsia" w:hint="eastAsia"/>
          <w:color w:val="000000"/>
          <w:sz w:val="22"/>
          <w:szCs w:val="22"/>
          <w:shd w:val="clear" w:color="auto" w:fill="F5FDFE"/>
        </w:rPr>
        <w:t>e successive modificazioni;</w:t>
      </w:r>
      <w:r>
        <w:rPr>
          <w:rFonts w:asciiTheme="majorEastAsia" w:hAnsiTheme="majorEastAsia" w:cstheme="majorEastAsia"/>
          <w:color w:val="000000"/>
          <w:sz w:val="22"/>
          <w:szCs w:val="22"/>
          <w:shd w:val="clear" w:color="auto" w:fill="F5FDFE"/>
        </w:rPr>
        <w:tab/>
      </w:r>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f) sfruttamento del lavoro minorile e altre forme di tratta di esseri umani definite con il decreto legislativo 4 marzo 2014, n. 24;</w:t>
      </w:r>
      <w:r>
        <w:rPr>
          <w:rFonts w:asciiTheme="majorEastAsia" w:hAnsiTheme="majorEastAsia" w:cstheme="majorEastAsia"/>
          <w:color w:val="000000"/>
          <w:sz w:val="22"/>
          <w:szCs w:val="22"/>
          <w:shd w:val="clear" w:color="auto" w:fill="F5FDFE"/>
        </w:rPr>
        <w:tab/>
      </w:r>
      <w:r>
        <w:rPr>
          <w:rStyle w:val="apple-converted-space"/>
          <w:rFonts w:asciiTheme="majorEastAsia" w:hAnsiTheme="majorEastAsia" w:cstheme="majorEastAsia" w:hint="eastAsia"/>
          <w:color w:val="000000"/>
          <w:sz w:val="22"/>
          <w:szCs w:val="22"/>
          <w:shd w:val="clear" w:color="auto" w:fill="F5FDFE"/>
        </w:rPr>
        <w:t xml:space="preserve"> </w:t>
      </w:r>
      <w:r w:rsidRPr="00116BD6">
        <w:rPr>
          <w:rFonts w:asciiTheme="majorEastAsia" w:hAnsiTheme="majorEastAsia" w:cstheme="majorEastAsia" w:hint="eastAsia"/>
          <w:color w:val="000000"/>
          <w:sz w:val="22"/>
          <w:szCs w:val="22"/>
          <w:shd w:val="clear" w:color="auto" w:fill="F5FDFE"/>
        </w:rPr>
        <w:br/>
        <w:t>g) ogni altro delitto da cui derivi, quale pena accessoria, l'</w:t>
      </w:r>
      <w:r w:rsidRPr="00116BD6">
        <w:rPr>
          <w:rFonts w:asciiTheme="majorEastAsia" w:hAnsiTheme="majorEastAsia" w:cstheme="majorEastAsia"/>
          <w:color w:val="000000"/>
          <w:sz w:val="22"/>
          <w:szCs w:val="22"/>
          <w:shd w:val="clear" w:color="auto" w:fill="F5FDFE"/>
        </w:rPr>
        <w:t>incapacità</w:t>
      </w:r>
      <w:r w:rsidRPr="00116BD6">
        <w:rPr>
          <w:rFonts w:asciiTheme="majorEastAsia" w:hAnsiTheme="majorEastAsia" w:cstheme="majorEastAsia" w:hint="eastAsia"/>
          <w:color w:val="000000"/>
          <w:sz w:val="22"/>
          <w:szCs w:val="22"/>
          <w:shd w:val="clear" w:color="auto" w:fill="F5FDFE"/>
        </w:rPr>
        <w:t xml:space="preserve"> di contrattare con la pubblica amministrazione.</w:t>
      </w:r>
    </w:p>
    <w:p w14:paraId="77BBC198"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2. Costituisce </w:t>
      </w:r>
      <w:proofErr w:type="spellStart"/>
      <w:r w:rsidRPr="00116BD6">
        <w:rPr>
          <w:rFonts w:asciiTheme="majorEastAsia" w:hAnsiTheme="majorEastAsia" w:cstheme="majorEastAsia" w:hint="eastAsia"/>
          <w:color w:val="000000"/>
          <w:sz w:val="22"/>
          <w:szCs w:val="22"/>
        </w:rPr>
        <w:t>altres</w:t>
      </w:r>
      <w:proofErr w:type="spellEnd"/>
      <w:r w:rsidRPr="00116BD6">
        <w:rPr>
          <w:rFonts w:asciiTheme="majorEastAsia" w:hAnsiTheme="majorEastAsia" w:cstheme="majorEastAsia" w:hint="eastAsia"/>
          <w:color w:val="000000"/>
          <w:sz w:val="22"/>
          <w:szCs w:val="22"/>
        </w:rPr>
        <w:t>ì</w:t>
      </w:r>
      <w:r w:rsidRPr="00116BD6">
        <w:rPr>
          <w:rFonts w:asciiTheme="majorEastAsia" w:hAnsiTheme="majorEastAsia" w:cstheme="majorEastAsia" w:hint="eastAsia"/>
          <w:color w:val="000000"/>
          <w:sz w:val="22"/>
          <w:szCs w:val="22"/>
        </w:rPr>
        <w:t xml:space="preserve"> motivo di esclusione la sussistenza, con riferimento ai soggetti indicati al comma 3, di cause di decadenza, di sospensione o di divieto previste dall'</w:t>
      </w:r>
      <w:hyperlink r:id="rId20" w:anchor="067" w:history="1">
        <w:r w:rsidRPr="00116BD6">
          <w:rPr>
            <w:rStyle w:val="Collegamentoipertestuale"/>
            <w:rFonts w:asciiTheme="majorEastAsia" w:hAnsiTheme="majorEastAsia" w:cstheme="majorEastAsia" w:hint="eastAsia"/>
            <w:sz w:val="22"/>
            <w:szCs w:val="22"/>
          </w:rPr>
          <w:t>articolo 67 del decreto legislativo 6 settembre 2011, n. 159</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di un tentativo di infiltrazione mafiosa di cui all'</w:t>
      </w:r>
      <w:hyperlink r:id="rId21" w:anchor="084" w:history="1">
        <w:r w:rsidRPr="00116BD6">
          <w:rPr>
            <w:rStyle w:val="Collegamentoipertestuale"/>
            <w:rFonts w:asciiTheme="majorEastAsia" w:hAnsiTheme="majorEastAsia" w:cstheme="majorEastAsia" w:hint="eastAsia"/>
            <w:sz w:val="22"/>
            <w:szCs w:val="22"/>
          </w:rPr>
          <w:t>articolo 84, comma 4, del medesimo decreto</w:t>
        </w:r>
      </w:hyperlink>
      <w:r w:rsidRPr="00116BD6">
        <w:rPr>
          <w:rFonts w:asciiTheme="majorEastAsia" w:hAnsiTheme="majorEastAsia" w:cstheme="majorEastAsia" w:hint="eastAsia"/>
          <w:color w:val="000000"/>
          <w:sz w:val="22"/>
          <w:szCs w:val="22"/>
        </w:rPr>
        <w:t>. Resta fermo quanto previsto dagli</w:t>
      </w:r>
      <w:r>
        <w:rPr>
          <w:rStyle w:val="apple-converted-space"/>
          <w:rFonts w:asciiTheme="majorEastAsia" w:hAnsiTheme="majorEastAsia" w:cstheme="majorEastAsia" w:hint="eastAsia"/>
          <w:color w:val="000000"/>
          <w:sz w:val="22"/>
          <w:szCs w:val="22"/>
        </w:rPr>
        <w:t xml:space="preserve"> </w:t>
      </w:r>
      <w:hyperlink r:id="rId22" w:anchor="088" w:history="1">
        <w:r w:rsidRPr="00116BD6">
          <w:rPr>
            <w:rStyle w:val="Collegamentoipertestuale"/>
            <w:rFonts w:asciiTheme="majorEastAsia" w:hAnsiTheme="majorEastAsia" w:cstheme="majorEastAsia" w:hint="eastAsia"/>
            <w:sz w:val="22"/>
            <w:szCs w:val="22"/>
          </w:rPr>
          <w:t>articoli 88, comma 4-bis</w:t>
        </w:r>
      </w:hyperlink>
      <w:r w:rsidRPr="00116BD6">
        <w:rPr>
          <w:rFonts w:asciiTheme="majorEastAsia" w:hAnsiTheme="majorEastAsia" w:cstheme="majorEastAsia" w:hint="eastAsia"/>
          <w:color w:val="000000"/>
          <w:sz w:val="22"/>
          <w:szCs w:val="22"/>
        </w:rPr>
        <w:t>, e</w:t>
      </w:r>
      <w:r>
        <w:rPr>
          <w:rStyle w:val="apple-converted-space"/>
          <w:rFonts w:asciiTheme="majorEastAsia" w:hAnsiTheme="majorEastAsia" w:cstheme="majorEastAsia" w:hint="eastAsia"/>
          <w:color w:val="000000"/>
          <w:sz w:val="22"/>
          <w:szCs w:val="22"/>
        </w:rPr>
        <w:t xml:space="preserve"> </w:t>
      </w:r>
      <w:hyperlink r:id="rId23" w:anchor="092" w:history="1">
        <w:r w:rsidRPr="00116BD6">
          <w:rPr>
            <w:rStyle w:val="Collegamentoipertestuale"/>
            <w:rFonts w:asciiTheme="majorEastAsia" w:hAnsiTheme="majorEastAsia" w:cstheme="majorEastAsia" w:hint="eastAsia"/>
            <w:sz w:val="22"/>
            <w:szCs w:val="22"/>
          </w:rPr>
          <w:t>92, commi 2 e 3, del decreto legislativo 6 settembre 2011, n. 159</w:t>
        </w:r>
      </w:hyperlink>
      <w:r w:rsidRPr="00116BD6">
        <w:rPr>
          <w:rFonts w:asciiTheme="majorEastAsia" w:hAnsiTheme="majorEastAsia" w:cstheme="majorEastAsia" w:hint="eastAsia"/>
          <w:color w:val="000000"/>
          <w:sz w:val="22"/>
          <w:szCs w:val="22"/>
        </w:rPr>
        <w:t xml:space="preserve">, con riferimento rispettivamente alle comunicazioni antimafia e alle informazioni antimafia. Resta fermo </w:t>
      </w:r>
      <w:proofErr w:type="spellStart"/>
      <w:r w:rsidRPr="00116BD6">
        <w:rPr>
          <w:rFonts w:asciiTheme="majorEastAsia" w:hAnsiTheme="majorEastAsia" w:cstheme="majorEastAsia" w:hint="eastAsia"/>
          <w:color w:val="000000"/>
          <w:sz w:val="22"/>
          <w:szCs w:val="22"/>
        </w:rPr>
        <w:t>altres</w:t>
      </w:r>
      <w:proofErr w:type="spellEnd"/>
      <w:r w:rsidRPr="00116BD6">
        <w:rPr>
          <w:rFonts w:asciiTheme="majorEastAsia" w:hAnsiTheme="majorEastAsia" w:cstheme="majorEastAsia" w:hint="eastAsia"/>
          <w:color w:val="000000"/>
          <w:sz w:val="22"/>
          <w:szCs w:val="22"/>
        </w:rPr>
        <w:t>ì</w:t>
      </w:r>
      <w:r w:rsidRPr="00116BD6">
        <w:rPr>
          <w:rFonts w:asciiTheme="majorEastAsia" w:hAnsiTheme="majorEastAsia" w:cstheme="majorEastAsia" w:hint="eastAsia"/>
          <w:color w:val="000000"/>
          <w:sz w:val="22"/>
          <w:szCs w:val="22"/>
        </w:rPr>
        <w:t xml:space="preserve"> quanto previsto dall</w:t>
      </w:r>
      <w:r>
        <w:rPr>
          <w:rFonts w:asciiTheme="majorEastAsia" w:eastAsia="SimSun" w:hAnsiTheme="majorEastAsia" w:cstheme="majorEastAsia"/>
          <w:color w:val="000000"/>
          <w:sz w:val="22"/>
          <w:szCs w:val="22"/>
        </w:rPr>
        <w:t>’</w:t>
      </w:r>
      <w:hyperlink r:id="rId24" w:anchor="034-bis" w:history="1">
        <w:r w:rsidRPr="00116BD6">
          <w:rPr>
            <w:rStyle w:val="Collegamentoipertestuale"/>
            <w:rFonts w:asciiTheme="majorEastAsia" w:hAnsiTheme="majorEastAsia" w:cstheme="majorEastAsia" w:hint="eastAsia"/>
            <w:sz w:val="22"/>
            <w:szCs w:val="22"/>
          </w:rPr>
          <w:t>articolo 34-bis, commi 6 e 7, del decreto legislativo 6 settembre 2011, n. 159</w:t>
        </w:r>
      </w:hyperlink>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 comma 20, lett. o), della legge n. 55 del 2019)</w:t>
      </w:r>
    </w:p>
    <w:p w14:paraId="78FEDA3A"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3.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esclusione di cui ai commi 1 e 2 va disposta se la sentenza o il decreto ovvero la misura interdittiva sono stati emessi nei confronti: del titolare o del direttore tecnico, se si tratta di impresa individuale; di un socio o del direttore tecnico, se si tratta di </w:t>
      </w:r>
      <w:r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in nome collettivo; dei soci accomandatari o del direttore tecnico, se si tratta di </w:t>
      </w:r>
      <w:r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w:t>
      </w:r>
      <w:r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con un numero di soci pari o inferiore a quattro, se si tratta di altro tipo di </w:t>
      </w:r>
      <w:r w:rsidRPr="00116BD6">
        <w:rPr>
          <w:rFonts w:asciiTheme="majorEastAsia" w:hAnsiTheme="majorEastAsia" w:cstheme="majorEastAsia"/>
          <w:color w:val="000000"/>
          <w:sz w:val="22"/>
          <w:szCs w:val="22"/>
        </w:rPr>
        <w:t>società</w:t>
      </w:r>
      <w:r w:rsidRPr="00116BD6">
        <w:rPr>
          <w:rFonts w:asciiTheme="majorEastAsia" w:hAnsiTheme="majorEastAsia" w:cstheme="majorEastAsia" w:hint="eastAsia"/>
          <w:color w:val="000000"/>
          <w:sz w:val="22"/>
          <w:szCs w:val="22"/>
        </w:rPr>
        <w:t xml:space="preserve">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stato depenalizzato ovvero quando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intervenuta la riabilitazione ovvero, nei casi di condanna ad una pena accessoria perpetua, quando questa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stata dichiarata estinta ai sensi dell</w:t>
      </w:r>
      <w:r>
        <w:rPr>
          <w:rFonts w:asciiTheme="majorEastAsia" w:eastAsia="SimSun" w:hAnsiTheme="majorEastAsia" w:cstheme="majorEastAsia"/>
          <w:color w:val="000000"/>
          <w:sz w:val="22"/>
          <w:szCs w:val="22"/>
        </w:rPr>
        <w:t>’</w:t>
      </w:r>
      <w:hyperlink r:id="rId25" w:anchor="179" w:history="1">
        <w:r w:rsidRPr="00116BD6">
          <w:rPr>
            <w:rStyle w:val="Collegamentoipertestuale"/>
            <w:rFonts w:asciiTheme="majorEastAsia" w:hAnsiTheme="majorEastAsia" w:cstheme="majorEastAsia" w:hint="eastAsia"/>
            <w:sz w:val="22"/>
            <w:szCs w:val="22"/>
          </w:rPr>
          <w:t>articolo 179, settimo comma, del codice penale</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 xml:space="preserve">ovvero quando il reato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stato dichiarato estinto dopo la condanna ovvero in caso di revoca della condanna medesima.</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 comma 20, lett. o), della legge n. 55 del 2019)</w:t>
      </w:r>
    </w:p>
    <w:p w14:paraId="6406E691"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lastRenderedPageBreak/>
        <w:t xml:space="preserve">4. Un operatore economico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escluso dalla partecipazione a una procedura d'appalto 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26" w:anchor="02" w:history="1">
        <w:r w:rsidRPr="00116BD6">
          <w:rPr>
            <w:rStyle w:val="Collegamentoipertestuale"/>
            <w:rFonts w:asciiTheme="majorEastAsia" w:hAnsiTheme="majorEastAsia" w:cstheme="majorEastAsia" w:hint="eastAsia"/>
            <w:sz w:val="22"/>
            <w:szCs w:val="22"/>
          </w:rPr>
          <w:t>articolo 48-bis, commi 1 e 2-bis, del decreto del Presidente della Repubblica 29 settembre 1973, n. 602</w:t>
        </w:r>
      </w:hyperlink>
      <w:r w:rsidRPr="00116BD6">
        <w:rPr>
          <w:rFonts w:asciiTheme="majorEastAsia" w:hAnsiTheme="majorEastAsia" w:cstheme="majorEastAsia" w:hint="eastAsia"/>
          <w:color w:val="000000"/>
          <w:sz w:val="22"/>
          <w:szCs w:val="22"/>
        </w:rPr>
        <w:t>. Costituiscono violazioni definitivamente accertate quelle contenute in sentenze o atti amministrativi non pi</w:t>
      </w:r>
      <w:r w:rsidRPr="00116BD6">
        <w:rPr>
          <w:rFonts w:asciiTheme="majorEastAsia" w:hAnsiTheme="majorEastAsia" w:cstheme="majorEastAsia" w:hint="eastAsia"/>
          <w:color w:val="000000"/>
          <w:sz w:val="22"/>
          <w:szCs w:val="22"/>
        </w:rPr>
        <w:t>ù</w:t>
      </w:r>
      <w:r w:rsidRPr="00116BD6">
        <w:rPr>
          <w:rFonts w:asciiTheme="majorEastAsia" w:hAnsiTheme="majorEastAsia" w:cstheme="majorEastAsia" w:hint="eastAsia"/>
          <w:color w:val="000000"/>
          <w:sz w:val="22"/>
          <w:szCs w:val="22"/>
        </w:rPr>
        <w:t xml:space="preserve"> soggetti ad impugnazione. Costituiscono gravi violazioni in materia contributiva e previdenziale quelle ostative al rilascio del documento unico di </w:t>
      </w:r>
      <w:r w:rsidRPr="00116BD6">
        <w:rPr>
          <w:rFonts w:asciiTheme="majorEastAsia" w:hAnsiTheme="majorEastAsia" w:cstheme="majorEastAsia"/>
          <w:color w:val="000000"/>
          <w:sz w:val="22"/>
          <w:szCs w:val="22"/>
        </w:rPr>
        <w:t>regolarità</w:t>
      </w:r>
      <w:r w:rsidRPr="00116BD6">
        <w:rPr>
          <w:rFonts w:asciiTheme="majorEastAsia" w:hAnsiTheme="majorEastAsia" w:cstheme="majorEastAsia" w:hint="eastAsia"/>
          <w:color w:val="000000"/>
          <w:sz w:val="22"/>
          <w:szCs w:val="22"/>
        </w:rPr>
        <w:t xml:space="preserve"> contributiva (DURC), di cui al all'</w:t>
      </w:r>
      <w:hyperlink r:id="rId27" w:anchor="08" w:history="1">
        <w:r w:rsidRPr="00116BD6">
          <w:rPr>
            <w:rStyle w:val="Collegamentoipertestuale"/>
            <w:rFonts w:asciiTheme="majorEastAsia" w:hAnsiTheme="majorEastAsia" w:cstheme="majorEastAsia" w:hint="eastAsia"/>
            <w:sz w:val="22"/>
            <w:szCs w:val="22"/>
          </w:rPr>
          <w:t>articolo 8 del decreto del Ministero del lavoro e delle politiche sociali 30 gennaio 2015, pubblicato sulla Gazzetta Ufficiale n. 125 del 1</w:t>
        </w:r>
        <w:r w:rsidRPr="00116BD6">
          <w:rPr>
            <w:rStyle w:val="Collegamentoipertestuale"/>
            <w:rFonts w:asciiTheme="majorEastAsia" w:hAnsiTheme="majorEastAsia" w:cstheme="majorEastAsia" w:hint="eastAsia"/>
            <w:sz w:val="22"/>
            <w:szCs w:val="22"/>
          </w:rPr>
          <w:t>°</w:t>
        </w:r>
        <w:r w:rsidRPr="00116BD6">
          <w:rPr>
            <w:rStyle w:val="Collegamentoipertestuale"/>
            <w:rFonts w:asciiTheme="majorEastAsia" w:hAnsiTheme="majorEastAsia" w:cstheme="majorEastAsia" w:hint="eastAsia"/>
            <w:sz w:val="22"/>
            <w:szCs w:val="22"/>
          </w:rPr>
          <w:t xml:space="preserve"> giugno 2015</w:t>
        </w:r>
      </w:hyperlink>
      <w:r w:rsidRPr="00116BD6">
        <w:rPr>
          <w:rFonts w:asciiTheme="majorEastAsia" w:hAnsiTheme="majorEastAsia" w:cstheme="majorEastAsia" w:hint="eastAsia"/>
          <w:color w:val="000000"/>
          <w:sz w:val="22"/>
          <w:szCs w:val="22"/>
        </w:rPr>
        <w:t xml:space="preserve">, ovvero delle certificazioni rilasciate dagli enti previdenziali di riferimento non aderenti al sistema dello sportello unico previdenziale. Un operatore economico </w:t>
      </w:r>
      <w:r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essere escluso dalla partecipazione a una procedura d</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appalto se la stazione appaltante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a conoscenza e </w:t>
      </w:r>
      <w:r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adeguatamente dimostrare che lo stesso ha commesso gravi violazioni non definitivamente accertate agli obblighi relativi al pagamento di imposte e tasse o contributi previdenziali. Per gravi violazioni non definitivamente accertate in materia contributiva e previdenziale s</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intendono quelle di cui al quarto periodo. Costituiscono gravi violazioni non definitivamente accertate in materia fiscale quelle stabilite da un apposito decreto del Ministro dell</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 xml:space="preserve">economia e delle finanze, di concerto con il Ministro delle infrastrutture e della </w:t>
      </w:r>
      <w:r w:rsidRPr="00116BD6">
        <w:rPr>
          <w:rFonts w:asciiTheme="majorEastAsia" w:hAnsiTheme="majorEastAsia" w:cstheme="majorEastAsia"/>
          <w:color w:val="000000"/>
          <w:sz w:val="22"/>
          <w:szCs w:val="22"/>
        </w:rPr>
        <w:t>mobilita</w:t>
      </w:r>
      <w:r w:rsidRPr="00116BD6">
        <w:rPr>
          <w:rFonts w:asciiTheme="majorEastAsia" w:hAnsiTheme="majorEastAsia" w:cstheme="majorEastAsia" w:hint="eastAsia"/>
          <w:color w:val="000000"/>
          <w:sz w:val="22"/>
          <w:szCs w:val="22"/>
        </w:rPr>
        <w:t xml:space="preserve"> sostenibili e previo parere del Dipartimento per le politiche europee della Presidenza del Consiglio dei ministri, da emanare entro sessanta giorni dalla data di entrata in vigore delle disposizioni di cui al presente periodo, recante limiti e condizioni per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color w:val="000000"/>
          <w:sz w:val="22"/>
          <w:szCs w:val="22"/>
        </w:rPr>
        <w:t>operatività</w:t>
      </w:r>
      <w:r w:rsidRPr="00116BD6">
        <w:rPr>
          <w:rFonts w:asciiTheme="majorEastAsia" w:hAnsiTheme="majorEastAsia" w:cstheme="majorEastAsia" w:hint="eastAsia"/>
          <w:color w:val="000000"/>
          <w:sz w:val="22"/>
          <w:szCs w:val="22"/>
        </w:rPr>
        <w:t xml:space="preserve"> della causa di esclusione relativa a violazioni non definitivamente accertate che, in ogni caso, devono essere correlate al valore </w:t>
      </w:r>
      <w:proofErr w:type="spellStart"/>
      <w:r w:rsidRPr="00116BD6">
        <w:rPr>
          <w:rFonts w:asciiTheme="majorEastAsia" w:hAnsiTheme="majorEastAsia" w:cstheme="majorEastAsia" w:hint="eastAsia"/>
          <w:color w:val="000000"/>
          <w:sz w:val="22"/>
          <w:szCs w:val="22"/>
        </w:rPr>
        <w:t>dell</w:t>
      </w:r>
      <w:proofErr w:type="spellEnd"/>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appalto e comunque di importo non inferiore a 35.000 euro. Il presente comma non si applica quando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 xml:space="preserve">operatore economico ha ottemperato ai suoi obblighi pagando o impegnandosi in modo vincolante a pagare le imposte o i contributi previdenziali dovuti, compresi eventuali interessi o multe, ovvero quando il debito tributario o previdenziale sia comunque integralmente estinto, </w:t>
      </w:r>
      <w:r w:rsidRPr="00116BD6">
        <w:rPr>
          <w:rFonts w:asciiTheme="majorEastAsia" w:hAnsiTheme="majorEastAsia" w:cstheme="majorEastAsia"/>
          <w:color w:val="000000"/>
          <w:sz w:val="22"/>
          <w:szCs w:val="22"/>
        </w:rPr>
        <w:t>purché</w:t>
      </w:r>
      <w:r w:rsidRPr="00116BD6">
        <w:rPr>
          <w:rFonts w:asciiTheme="majorEastAsia" w:hAnsiTheme="majorEastAsia" w:cstheme="majorEastAsia" w:hint="eastAsia"/>
          <w:color w:val="000000"/>
          <w:sz w:val="22"/>
          <w:szCs w:val="22"/>
        </w:rPr>
        <w:t xml:space="preserve"> l</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estinzione, il pagamento o l</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impegno si siano perfezionati anteriormente alla scadenza del termine per la presentazione delle domande.</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modificato dall'art. 8, comma 5, lettera b), della legge n. 120 del 2020, poi dall'art. 10, comma 1, della legge n. 238 del 2021)</w:t>
      </w:r>
      <w:r>
        <w:rPr>
          <w:rFonts w:asciiTheme="majorEastAsia" w:hAnsiTheme="majorEastAsia" w:cstheme="majorEastAsia"/>
          <w:i/>
          <w:iCs/>
          <w:color w:val="FF0000"/>
          <w:sz w:val="22"/>
          <w:szCs w:val="22"/>
        </w:rPr>
        <w:tab/>
      </w:r>
      <w:r w:rsidRPr="00116BD6">
        <w:rPr>
          <w:rFonts w:asciiTheme="majorEastAsia" w:hAnsiTheme="majorEastAsia" w:cstheme="majorEastAsia" w:hint="eastAsia"/>
          <w:i/>
          <w:iCs/>
          <w:color w:val="FF0000"/>
          <w:sz w:val="22"/>
          <w:szCs w:val="22"/>
        </w:rPr>
        <w:br/>
        <w:t>(i fini dei periodi quinto, sesto e settimo, costituiscono gravi violazioni non definitivamente accertate in materia fiscale quelle stabilite dagli</w:t>
      </w:r>
      <w:r>
        <w:rPr>
          <w:rStyle w:val="apple-converted-space"/>
          <w:rFonts w:asciiTheme="majorEastAsia" w:hAnsiTheme="majorEastAsia" w:cstheme="majorEastAsia" w:hint="eastAsia"/>
          <w:i/>
          <w:iCs/>
          <w:color w:val="FF0000"/>
          <w:sz w:val="22"/>
          <w:szCs w:val="22"/>
        </w:rPr>
        <w:t xml:space="preserve"> </w:t>
      </w:r>
      <w:hyperlink r:id="rId28" w:tgtFrame="_blank" w:history="1">
        <w:r w:rsidRPr="00116BD6">
          <w:rPr>
            <w:rStyle w:val="Collegamentoipertestuale"/>
            <w:rFonts w:asciiTheme="majorEastAsia" w:hAnsiTheme="majorEastAsia" w:cstheme="majorEastAsia" w:hint="eastAsia"/>
            <w:i/>
            <w:iCs/>
            <w:sz w:val="22"/>
            <w:szCs w:val="22"/>
          </w:rPr>
          <w:t xml:space="preserve">articoli 3 e 4 del </w:t>
        </w:r>
        <w:proofErr w:type="spellStart"/>
        <w:r w:rsidRPr="00116BD6">
          <w:rPr>
            <w:rStyle w:val="Collegamentoipertestuale"/>
            <w:rFonts w:asciiTheme="majorEastAsia" w:hAnsiTheme="majorEastAsia" w:cstheme="majorEastAsia" w:hint="eastAsia"/>
            <w:i/>
            <w:iCs/>
            <w:sz w:val="22"/>
            <w:szCs w:val="22"/>
          </w:rPr>
          <w:t>d.m.</w:t>
        </w:r>
        <w:proofErr w:type="spellEnd"/>
        <w:r w:rsidRPr="00116BD6">
          <w:rPr>
            <w:rStyle w:val="Collegamentoipertestuale"/>
            <w:rFonts w:asciiTheme="majorEastAsia" w:hAnsiTheme="majorEastAsia" w:cstheme="majorEastAsia" w:hint="eastAsia"/>
            <w:i/>
            <w:iCs/>
            <w:sz w:val="22"/>
            <w:szCs w:val="22"/>
          </w:rPr>
          <w:t xml:space="preserve"> 28 settembre 2022</w:t>
        </w:r>
      </w:hyperlink>
      <w:r w:rsidRPr="00116BD6">
        <w:rPr>
          <w:rFonts w:asciiTheme="majorEastAsia" w:hAnsiTheme="majorEastAsia" w:cstheme="majorEastAsia" w:hint="eastAsia"/>
          <w:i/>
          <w:iCs/>
          <w:color w:val="FF0000"/>
          <w:sz w:val="22"/>
          <w:szCs w:val="22"/>
        </w:rPr>
        <w:t>)</w:t>
      </w:r>
    </w:p>
    <w:p w14:paraId="77C8407C"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bookmarkStart w:id="1" w:name="080.5"/>
      <w:r w:rsidRPr="00116BD6">
        <w:rPr>
          <w:rFonts w:asciiTheme="majorEastAsia" w:hAnsiTheme="majorEastAsia" w:cstheme="majorEastAsia" w:hint="eastAsia"/>
          <w:color w:val="000000"/>
          <w:sz w:val="22"/>
          <w:szCs w:val="22"/>
        </w:rPr>
        <w:t>5</w:t>
      </w:r>
      <w:bookmarkEnd w:id="1"/>
      <w:r w:rsidRPr="00116BD6">
        <w:rPr>
          <w:rFonts w:asciiTheme="majorEastAsia" w:hAnsiTheme="majorEastAsia" w:cstheme="majorEastAsia" w:hint="eastAsia"/>
          <w:color w:val="000000"/>
          <w:sz w:val="22"/>
          <w:szCs w:val="22"/>
        </w:rPr>
        <w:t>. Le stazioni appaltanti escludono dalla partecipazione alla procedura d'appalto un operatore economico in una delle seguenti situazioni, qualora:</w:t>
      </w:r>
      <w:r>
        <w:rPr>
          <w:rFonts w:asciiTheme="majorEastAsia" w:hAnsiTheme="majorEastAsia" w:cstheme="majorEastAsia"/>
          <w:color w:val="000000"/>
          <w:sz w:val="22"/>
          <w:szCs w:val="22"/>
        </w:rPr>
        <w:tab/>
      </w:r>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10, comma 1, lettera b), della legge n 238 del 2021)</w:t>
      </w:r>
    </w:p>
    <w:p w14:paraId="585EBFE5"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a) la stazione appaltante possa dimostrare con qualunque mezzo adeguato la presenza di gravi infrazioni debitamente accertate alle norme in materia di salute e sicurezza sul lavoro </w:t>
      </w:r>
      <w:r w:rsidRPr="00116BD6">
        <w:rPr>
          <w:rFonts w:asciiTheme="majorEastAsia" w:hAnsiTheme="majorEastAsia" w:cstheme="majorEastAsia"/>
          <w:color w:val="000000"/>
          <w:sz w:val="22"/>
          <w:szCs w:val="22"/>
        </w:rPr>
        <w:t>nonché</w:t>
      </w:r>
      <w:r w:rsidRPr="00116BD6">
        <w:rPr>
          <w:rFonts w:asciiTheme="majorEastAsia" w:hAnsiTheme="majorEastAsia" w:cstheme="majorEastAsia" w:hint="eastAsia"/>
          <w:color w:val="000000"/>
          <w:sz w:val="22"/>
          <w:szCs w:val="22"/>
        </w:rPr>
        <w:t xml:space="preserve"> agli obblighi di cui all'</w:t>
      </w:r>
      <w:hyperlink r:id="rId29" w:anchor="030" w:history="1">
        <w:r w:rsidRPr="00116BD6">
          <w:rPr>
            <w:rStyle w:val="Collegamentoipertestuale"/>
            <w:rFonts w:asciiTheme="majorEastAsia" w:hAnsiTheme="majorEastAsia" w:cstheme="majorEastAsia" w:hint="eastAsia"/>
            <w:sz w:val="22"/>
            <w:szCs w:val="22"/>
          </w:rPr>
          <w:t>articolo 30, comma 3</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del presente codice;</w:t>
      </w:r>
      <w:r>
        <w:rPr>
          <w:rFonts w:asciiTheme="majorEastAsia" w:hAnsiTheme="majorEastAsia" w:cstheme="majorEastAsia"/>
          <w:color w:val="000000"/>
          <w:sz w:val="22"/>
          <w:szCs w:val="22"/>
        </w:rPr>
        <w:tab/>
      </w:r>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b)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operatore economico sia stato sottoposto a liquidazione giudiziale o si trovi in stato di liquidazione coatta o di concordato preventivo o sia in corso nei suoi confronti un procedimento per la dichiarazione di una di tali situazioni, fermo restando quanto previsto dall'articolo 95 del codice della crisi di impresa e dell'insolvenza adottato in attuazione della delega di cui all'articolo 1 della legge 19 ottobre 2017, n. 155 e dall'</w:t>
      </w:r>
      <w:hyperlink r:id="rId30" w:anchor="110" w:history="1">
        <w:r w:rsidRPr="00116BD6">
          <w:rPr>
            <w:rStyle w:val="Collegamentoipertestuale"/>
            <w:rFonts w:asciiTheme="majorEastAsia" w:hAnsiTheme="majorEastAsia" w:cstheme="majorEastAsia" w:hint="eastAsia"/>
            <w:sz w:val="22"/>
            <w:szCs w:val="22"/>
          </w:rPr>
          <w:t>articolo 110</w:t>
        </w:r>
      </w:hyperlink>
      <w:r w:rsidRPr="00116BD6">
        <w:rPr>
          <w:rFonts w:asciiTheme="majorEastAsia" w:hAnsiTheme="majorEastAsia" w:cstheme="majorEastAsia" w:hint="eastAsia"/>
          <w:color w:val="000000"/>
          <w:sz w:val="22"/>
          <w:szCs w:val="22"/>
        </w:rPr>
        <w:t>;</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(lettera sostituita dall'art. 1, comma 20, lett. o), della legge n. 55 del 2019; poi dall'art. 372, comma 1, del decreto legislativo n. 14 del 2019, attuazione della delega conferita dall'art. 1 della legge n. 155 del 2017)</w:t>
      </w:r>
    </w:p>
    <w:p w14:paraId="45F48EEE"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c) la stazione appaltante dimostri con mezzi adeguati che l'operatore economico si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reso colpevole di gravi illeciti professionali, tali da rendere dubbia la sua </w:t>
      </w:r>
      <w:r w:rsidRPr="00116BD6">
        <w:rPr>
          <w:rFonts w:asciiTheme="majorEastAsia" w:hAnsiTheme="majorEastAsia" w:cstheme="majorEastAsia"/>
          <w:color w:val="000000"/>
          <w:sz w:val="22"/>
          <w:szCs w:val="22"/>
        </w:rPr>
        <w:t>integrità</w:t>
      </w:r>
      <w:r w:rsidRPr="00116BD6">
        <w:rPr>
          <w:rFonts w:asciiTheme="majorEastAsia" w:hAnsiTheme="majorEastAsia" w:cstheme="majorEastAsia" w:hint="eastAsia"/>
          <w:color w:val="000000"/>
          <w:sz w:val="22"/>
          <w:szCs w:val="22"/>
        </w:rPr>
        <w:t xml:space="preserve"> o </w:t>
      </w:r>
      <w:r w:rsidRPr="00116BD6">
        <w:rPr>
          <w:rFonts w:asciiTheme="majorEastAsia" w:hAnsiTheme="majorEastAsia" w:cstheme="majorEastAsia"/>
          <w:color w:val="000000"/>
          <w:sz w:val="22"/>
          <w:szCs w:val="22"/>
        </w:rPr>
        <w:t>affidabilità</w:t>
      </w:r>
      <w:r w:rsidRPr="00116BD6">
        <w:rPr>
          <w:rFonts w:asciiTheme="majorEastAsia" w:hAnsiTheme="majorEastAsia" w:cstheme="majorEastAsia" w:hint="eastAsia"/>
          <w:color w:val="000000"/>
          <w:sz w:val="22"/>
          <w:szCs w:val="22"/>
        </w:rPr>
        <w:t>;</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c-bis) l'operatore economico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 xml:space="preserve">c-ter) l'operatore economico abbia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w:t>
      </w:r>
      <w:r w:rsidRPr="00116BD6">
        <w:rPr>
          <w:rFonts w:asciiTheme="majorEastAsia" w:hAnsiTheme="majorEastAsia" w:cstheme="majorEastAsia"/>
          <w:color w:val="000000"/>
          <w:sz w:val="22"/>
          <w:szCs w:val="22"/>
        </w:rPr>
        <w:t>gravita</w:t>
      </w:r>
      <w:r w:rsidRPr="00116BD6">
        <w:rPr>
          <w:rFonts w:asciiTheme="majorEastAsia" w:hAnsiTheme="majorEastAsia" w:cstheme="majorEastAsia" w:hint="eastAsia"/>
          <w:color w:val="000000"/>
          <w:sz w:val="22"/>
          <w:szCs w:val="22"/>
        </w:rPr>
        <w:t xml:space="preserve"> della stessa;</w:t>
      </w:r>
    </w:p>
    <w:p w14:paraId="521C1907"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i/>
          <w:iCs/>
          <w:color w:val="FF0000"/>
          <w:sz w:val="22"/>
          <w:szCs w:val="22"/>
        </w:rPr>
        <w:lastRenderedPageBreak/>
        <w:t>(lettera c) sostituita dalle lettere c), c-bis) e c-ter) dall'art. 5 del decreto-legge n. 135 del 2018, convertito nella legge n. 12 del 2019)</w:t>
      </w:r>
    </w:p>
    <w:p w14:paraId="1AF8EFD8"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c-quater) l</w:t>
      </w:r>
      <w:r>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abbia commesso grave inadempimento nei confronti di uno o pi</w:t>
      </w:r>
      <w:r w:rsidRPr="00116BD6">
        <w:rPr>
          <w:rFonts w:asciiTheme="majorEastAsia" w:hAnsiTheme="majorEastAsia" w:cstheme="majorEastAsia" w:hint="eastAsia"/>
          <w:color w:val="000000"/>
          <w:sz w:val="22"/>
          <w:szCs w:val="22"/>
        </w:rPr>
        <w:t>ù</w:t>
      </w:r>
      <w:r w:rsidRPr="00116BD6">
        <w:rPr>
          <w:rFonts w:asciiTheme="majorEastAsia" w:hAnsiTheme="majorEastAsia" w:cstheme="majorEastAsia" w:hint="eastAsia"/>
          <w:color w:val="000000"/>
          <w:sz w:val="22"/>
          <w:szCs w:val="22"/>
        </w:rPr>
        <w:t xml:space="preserve"> subappaltatori, riconosciuto o accertato con sentenza passata in giudicato;</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(si vedano le</w:t>
      </w:r>
      <w:r>
        <w:rPr>
          <w:rStyle w:val="apple-converted-space"/>
          <w:rFonts w:asciiTheme="majorEastAsia" w:hAnsiTheme="majorEastAsia" w:cstheme="majorEastAsia" w:hint="eastAsia"/>
          <w:i/>
          <w:iCs/>
          <w:color w:val="FF0000"/>
          <w:sz w:val="22"/>
          <w:szCs w:val="22"/>
        </w:rPr>
        <w:t xml:space="preserve"> </w:t>
      </w:r>
      <w:hyperlink r:id="rId31" w:tgtFrame="_blank" w:history="1">
        <w:r w:rsidRPr="00116BD6">
          <w:rPr>
            <w:rStyle w:val="Collegamentoipertestuale"/>
            <w:rFonts w:asciiTheme="majorEastAsia" w:hAnsiTheme="majorEastAsia" w:cstheme="majorEastAsia" w:hint="eastAsia"/>
            <w:i/>
            <w:iCs/>
            <w:sz w:val="22"/>
            <w:szCs w:val="22"/>
          </w:rPr>
          <w:t>Linee guida n. 6 di ANAC</w:t>
        </w:r>
      </w:hyperlink>
      <w:r w:rsidRPr="00116BD6">
        <w:rPr>
          <w:rFonts w:asciiTheme="majorEastAsia" w:hAnsiTheme="majorEastAsia" w:cstheme="majorEastAsia" w:hint="eastAsia"/>
          <w:i/>
          <w:iCs/>
          <w:color w:val="FF0000"/>
          <w:sz w:val="22"/>
          <w:szCs w:val="22"/>
        </w:rPr>
        <w:t>)</w:t>
      </w:r>
      <w:r>
        <w:rPr>
          <w:rFonts w:asciiTheme="majorEastAsia" w:hAnsiTheme="majorEastAsia" w:cstheme="majorEastAsia"/>
          <w:i/>
          <w:iCs/>
          <w:color w:val="FF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(lettera introdotta dall'art. 1, comma 20, lettera o), della legge n. 55 del 2019)</w:t>
      </w:r>
    </w:p>
    <w:p w14:paraId="5B160430"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d) la partecipazione dell'operatore economico determini una situazione di conflitto di interesse ai sensi dell'</w:t>
      </w:r>
      <w:hyperlink r:id="rId32" w:anchor="042" w:history="1">
        <w:r w:rsidRPr="00116BD6">
          <w:rPr>
            <w:rStyle w:val="Collegamentoipertestuale"/>
            <w:rFonts w:asciiTheme="majorEastAsia" w:hAnsiTheme="majorEastAsia" w:cstheme="majorEastAsia" w:hint="eastAsia"/>
            <w:sz w:val="22"/>
            <w:szCs w:val="22"/>
          </w:rPr>
          <w:t>articolo 42, comma 2</w:t>
        </w:r>
      </w:hyperlink>
      <w:r w:rsidRPr="00116BD6">
        <w:rPr>
          <w:rFonts w:asciiTheme="majorEastAsia" w:hAnsiTheme="majorEastAsia" w:cstheme="majorEastAsia" w:hint="eastAsia"/>
          <w:color w:val="000000"/>
          <w:sz w:val="22"/>
          <w:szCs w:val="22"/>
        </w:rPr>
        <w:t>, non diversamente risolvibile;</w:t>
      </w:r>
      <w:r>
        <w:rPr>
          <w:rStyle w:val="apple-converted-space"/>
          <w:rFonts w:asciiTheme="majorEastAsia" w:hAnsiTheme="majorEastAsia" w:cstheme="majorEastAsia" w:hint="eastAsia"/>
          <w:color w:val="000000"/>
          <w:sz w:val="22"/>
          <w:szCs w:val="22"/>
        </w:rPr>
        <w:t xml:space="preserve"> </w:t>
      </w:r>
    </w:p>
    <w:p w14:paraId="76AB93A7"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e) una distorsione della concorrenza derivante dal precedente coinvolgimento degli operatori economici nella preparazione della procedura d'appalto di cui all'</w:t>
      </w:r>
      <w:hyperlink r:id="rId33" w:anchor="067" w:history="1">
        <w:r w:rsidRPr="00116BD6">
          <w:rPr>
            <w:rStyle w:val="Collegamentoipertestuale"/>
            <w:rFonts w:asciiTheme="majorEastAsia" w:hAnsiTheme="majorEastAsia" w:cstheme="majorEastAsia" w:hint="eastAsia"/>
            <w:sz w:val="22"/>
            <w:szCs w:val="22"/>
          </w:rPr>
          <w:t>articolo 67</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non possa essere risolta con misure meno intrusive;</w:t>
      </w:r>
      <w:r>
        <w:rPr>
          <w:rStyle w:val="apple-converted-space"/>
          <w:rFonts w:asciiTheme="majorEastAsia" w:hAnsiTheme="majorEastAsia" w:cstheme="majorEastAsia" w:hint="eastAsia"/>
          <w:color w:val="000000"/>
          <w:sz w:val="22"/>
          <w:szCs w:val="22"/>
        </w:rPr>
        <w:t xml:space="preserve"> </w:t>
      </w:r>
    </w:p>
    <w:p w14:paraId="2F4C754A"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f) l'operatore economico sia stato soggetto alla sanzione interdittiva di cui all'</w:t>
      </w:r>
      <w:hyperlink r:id="rId34" w:anchor="09" w:history="1">
        <w:r w:rsidRPr="00116BD6">
          <w:rPr>
            <w:rStyle w:val="Collegamentoipertestuale"/>
            <w:rFonts w:asciiTheme="majorEastAsia" w:hAnsiTheme="majorEastAsia" w:cstheme="majorEastAsia" w:hint="eastAsia"/>
            <w:sz w:val="22"/>
            <w:szCs w:val="22"/>
          </w:rPr>
          <w:t>articolo 9, comma 2, lettera c) del decreto legislativo 8 giugno 2001, n. 231</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ad altra sanzione che comporta il divieto di contrarre con la pubblica amministrazione, compresi i provvedimenti interdittivi di cui all'</w:t>
      </w:r>
      <w:hyperlink r:id="rId35" w:anchor="014" w:history="1">
        <w:r w:rsidRPr="00116BD6">
          <w:rPr>
            <w:rStyle w:val="Collegamentoipertestuale"/>
            <w:rFonts w:asciiTheme="majorEastAsia" w:hAnsiTheme="majorEastAsia" w:cstheme="majorEastAsia" w:hint="eastAsia"/>
            <w:sz w:val="22"/>
            <w:szCs w:val="22"/>
          </w:rPr>
          <w:t>articolo 14 del decreto legislativo 9 aprile 2008, n. 81</w:t>
        </w:r>
      </w:hyperlink>
      <w:r w:rsidRPr="00116BD6">
        <w:rPr>
          <w:rFonts w:asciiTheme="majorEastAsia" w:hAnsiTheme="majorEastAsia" w:cstheme="majorEastAsia" w:hint="eastAsia"/>
          <w:color w:val="000000"/>
          <w:sz w:val="22"/>
          <w:szCs w:val="22"/>
        </w:rPr>
        <w:t>;</w:t>
      </w:r>
      <w:r>
        <w:rPr>
          <w:rFonts w:asciiTheme="majorEastAsia" w:hAnsiTheme="majorEastAsia" w:cstheme="majorEastAsia"/>
          <w:color w:val="000000"/>
          <w:sz w:val="22"/>
          <w:szCs w:val="22"/>
        </w:rPr>
        <w:tab/>
      </w:r>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br/>
        <w:t>f-bis) l</w:t>
      </w:r>
      <w:r>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che presenti nella procedura di gara in corso e negli affidamenti di subappalti documentazione o dichiarazioni non veritiere;</w:t>
      </w:r>
      <w:r>
        <w:rPr>
          <w:rStyle w:val="apple-converted-space"/>
          <w:rFonts w:asciiTheme="majorEastAsia" w:hAnsiTheme="majorEastAsia" w:cstheme="majorEastAsia" w:hint="eastAsia"/>
          <w:color w:val="000000"/>
          <w:sz w:val="22"/>
          <w:szCs w:val="22"/>
        </w:rPr>
        <w:t xml:space="preserve"> </w:t>
      </w:r>
      <w:r>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f-ter) l</w:t>
      </w:r>
      <w:r>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iscritto nel casellario informatico tenuto dall</w:t>
      </w:r>
      <w:r>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Osservatorio dell</w:t>
      </w:r>
      <w:r>
        <w:rPr>
          <w:rFonts w:asciiTheme="majorEastAsia" w:eastAsia="SimSun" w:hAnsiTheme="majorEastAsia" w:cstheme="majorEastAsia"/>
          <w:color w:val="000000"/>
          <w:sz w:val="22"/>
          <w:szCs w:val="22"/>
        </w:rPr>
        <w:t>’</w:t>
      </w:r>
      <w:r w:rsidRPr="00116BD6">
        <w:rPr>
          <w:rFonts w:asciiTheme="majorEastAsia" w:hAnsiTheme="majorEastAsia" w:cstheme="majorEastAsia" w:hint="eastAsia"/>
          <w:color w:val="000000"/>
          <w:sz w:val="22"/>
          <w:szCs w:val="22"/>
        </w:rPr>
        <w:t>ANAC per aver presentato false dichiarazioni o falsa documentazione nelle procedure di gara e negli affidamenti di subappalti. Il motivo di esclusione perdura fino a quando opera l'iscrizione nel casellario informatico;</w:t>
      </w:r>
    </w:p>
    <w:p w14:paraId="233C6908"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g) l</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iscritto nel casellario informatico tenuto dall'Osservatorio dell'ANAC per aver presentato false dichiarazioni o falsa documentazione ai fini del rilascio dell'attestazione di qualificazione, per il periodo durante il quale perdura l'iscrizione;</w:t>
      </w:r>
      <w:r>
        <w:rPr>
          <w:rStyle w:val="apple-converted-space"/>
          <w:rFonts w:asciiTheme="majorEastAsia" w:hAnsiTheme="majorEastAsia" w:cstheme="majorEastAsia" w:hint="eastAsia"/>
          <w:color w:val="000000"/>
          <w:sz w:val="22"/>
          <w:szCs w:val="22"/>
        </w:rPr>
        <w:t xml:space="preserve"> </w:t>
      </w:r>
    </w:p>
    <w:p w14:paraId="5F9626E1"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h) l</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operatore economico abbia violato il divieto di intestazione fiduciaria di cui all'</w:t>
      </w:r>
      <w:hyperlink r:id="rId36" w:anchor="17" w:history="1">
        <w:r w:rsidRPr="00116BD6">
          <w:rPr>
            <w:rStyle w:val="Collegamentoipertestuale"/>
            <w:rFonts w:asciiTheme="majorEastAsia" w:hAnsiTheme="majorEastAsia" w:cstheme="majorEastAsia" w:hint="eastAsia"/>
            <w:sz w:val="22"/>
            <w:szCs w:val="22"/>
          </w:rPr>
          <w:t>articolo 17 della legge 19 marzo 1990, n. 55</w:t>
        </w:r>
      </w:hyperlink>
      <w:r w:rsidRPr="00116BD6">
        <w:rPr>
          <w:rFonts w:asciiTheme="majorEastAsia" w:hAnsiTheme="majorEastAsia" w:cstheme="majorEastAsia" w:hint="eastAsia"/>
          <w:color w:val="000000"/>
          <w:sz w:val="22"/>
          <w:szCs w:val="22"/>
        </w:rPr>
        <w:t xml:space="preserve">. L'esclusione ha durata di un anno decorrente dall'accertamento definitivo della violazione e va comunque disposta se la violazione non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stata rimossa;</w:t>
      </w:r>
      <w:r>
        <w:rPr>
          <w:rStyle w:val="apple-converted-space"/>
          <w:rFonts w:asciiTheme="majorEastAsia" w:hAnsiTheme="majorEastAsia" w:cstheme="majorEastAsia" w:hint="eastAsia"/>
          <w:color w:val="000000"/>
          <w:sz w:val="22"/>
          <w:szCs w:val="22"/>
        </w:rPr>
        <w:t xml:space="preserve"> </w:t>
      </w:r>
    </w:p>
    <w:p w14:paraId="1E5E70D0"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i) l'operatore economico non presenti la certificazione di cui all'</w:t>
      </w:r>
      <w:hyperlink r:id="rId37" w:anchor="17" w:history="1">
        <w:r w:rsidRPr="00116BD6">
          <w:rPr>
            <w:rStyle w:val="Collegamentoipertestuale"/>
            <w:rFonts w:asciiTheme="majorEastAsia" w:hAnsiTheme="majorEastAsia" w:cstheme="majorEastAsia" w:hint="eastAsia"/>
            <w:sz w:val="22"/>
            <w:szCs w:val="22"/>
          </w:rPr>
          <w:t>articolo 17 della legge 12 marzo 1999, n. 68</w:t>
        </w:r>
      </w:hyperlink>
      <w:r w:rsidRPr="00116BD6">
        <w:rPr>
          <w:rFonts w:asciiTheme="majorEastAsia" w:hAnsiTheme="majorEastAsia" w:cstheme="majorEastAsia" w:hint="eastAsia"/>
          <w:color w:val="000000"/>
          <w:sz w:val="22"/>
          <w:szCs w:val="22"/>
        </w:rPr>
        <w:t>, ovvero non autocertifichi la sussistenza del medesimo requisito;</w:t>
      </w:r>
      <w:r>
        <w:rPr>
          <w:rStyle w:val="apple-converted-space"/>
          <w:rFonts w:asciiTheme="majorEastAsia" w:hAnsiTheme="majorEastAsia" w:cstheme="majorEastAsia" w:hint="eastAsia"/>
          <w:color w:val="000000"/>
          <w:sz w:val="22"/>
          <w:szCs w:val="22"/>
        </w:rPr>
        <w:t xml:space="preserve"> </w:t>
      </w:r>
    </w:p>
    <w:p w14:paraId="281AA4B2"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l) l'operatore economico che, pur essendo stato vittima dei reati previsti e puniti dagli</w:t>
      </w:r>
      <w:r>
        <w:rPr>
          <w:rStyle w:val="apple-converted-space"/>
          <w:rFonts w:asciiTheme="majorEastAsia" w:hAnsiTheme="majorEastAsia" w:cstheme="majorEastAsia" w:hint="eastAsia"/>
          <w:color w:val="000000"/>
          <w:sz w:val="22"/>
          <w:szCs w:val="22"/>
        </w:rPr>
        <w:t xml:space="preserve"> </w:t>
      </w:r>
      <w:hyperlink r:id="rId38" w:anchor="317" w:history="1">
        <w:r w:rsidRPr="00116BD6">
          <w:rPr>
            <w:rStyle w:val="Collegamentoipertestuale"/>
            <w:rFonts w:asciiTheme="majorEastAsia" w:hAnsiTheme="majorEastAsia" w:cstheme="majorEastAsia" w:hint="eastAsia"/>
            <w:sz w:val="22"/>
            <w:szCs w:val="22"/>
          </w:rPr>
          <w:t>articoli 317</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e</w:t>
      </w:r>
      <w:r>
        <w:rPr>
          <w:rStyle w:val="apple-converted-space"/>
          <w:rFonts w:asciiTheme="majorEastAsia" w:hAnsiTheme="majorEastAsia" w:cstheme="majorEastAsia" w:hint="eastAsia"/>
          <w:color w:val="000000"/>
          <w:sz w:val="22"/>
          <w:szCs w:val="22"/>
        </w:rPr>
        <w:t xml:space="preserve"> </w:t>
      </w:r>
      <w:hyperlink r:id="rId39" w:anchor="629" w:history="1">
        <w:r w:rsidRPr="00116BD6">
          <w:rPr>
            <w:rStyle w:val="Collegamentoipertestuale"/>
            <w:rFonts w:asciiTheme="majorEastAsia" w:hAnsiTheme="majorEastAsia" w:cstheme="majorEastAsia" w:hint="eastAsia"/>
            <w:sz w:val="22"/>
            <w:szCs w:val="22"/>
          </w:rPr>
          <w:t>629 del codice penale</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aggravati ai sensi dell'articolo 7 del decreto-legge 13 maggio 1991, n. 152, convertito, con modificazioni, dalla legge 12 luglio 1991, n. 203</w:t>
      </w:r>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i/>
          <w:iCs/>
          <w:color w:val="FF0000"/>
          <w:sz w:val="22"/>
          <w:szCs w:val="22"/>
        </w:rPr>
        <w:t xml:space="preserve">(norma abrogata dall'art. 7 del d.lgs. n. 21 del 2018; ora il riferimento </w:t>
      </w:r>
      <w:r w:rsidRPr="00116BD6">
        <w:rPr>
          <w:rFonts w:asciiTheme="majorEastAsia" w:hAnsiTheme="majorEastAsia" w:cstheme="majorEastAsia" w:hint="eastAsia"/>
          <w:i/>
          <w:iCs/>
          <w:color w:val="FF0000"/>
          <w:sz w:val="22"/>
          <w:szCs w:val="22"/>
        </w:rPr>
        <w:t>è</w:t>
      </w:r>
      <w:r w:rsidRPr="00116BD6">
        <w:rPr>
          <w:rFonts w:asciiTheme="majorEastAsia" w:hAnsiTheme="majorEastAsia" w:cstheme="majorEastAsia" w:hint="eastAsia"/>
          <w:i/>
          <w:iCs/>
          <w:color w:val="FF0000"/>
          <w:sz w:val="22"/>
          <w:szCs w:val="22"/>
        </w:rPr>
        <w:t xml:space="preserve"> all'</w:t>
      </w:r>
      <w:hyperlink r:id="rId40" w:anchor="416-ter" w:history="1">
        <w:r w:rsidRPr="00116BD6">
          <w:rPr>
            <w:rStyle w:val="Collegamentoipertestuale"/>
            <w:rFonts w:asciiTheme="majorEastAsia" w:hAnsiTheme="majorEastAsia" w:cstheme="majorEastAsia" w:hint="eastAsia"/>
            <w:i/>
            <w:iCs/>
            <w:sz w:val="22"/>
            <w:szCs w:val="22"/>
          </w:rPr>
          <w:t>art. 416-bis.1 del codice penale</w:t>
        </w:r>
      </w:hyperlink>
      <w:r>
        <w:rPr>
          <w:rStyle w:val="apple-converted-space"/>
          <w:rFonts w:asciiTheme="majorEastAsia" w:hAnsiTheme="majorEastAsia" w:cstheme="majorEastAsia" w:hint="eastAsia"/>
          <w:i/>
          <w:iCs/>
          <w:color w:val="FF0000"/>
          <w:sz w:val="22"/>
          <w:szCs w:val="22"/>
        </w:rPr>
        <w:t xml:space="preserve"> </w:t>
      </w:r>
      <w:r w:rsidRPr="00116BD6">
        <w:rPr>
          <w:rFonts w:asciiTheme="majorEastAsia" w:hAnsiTheme="majorEastAsia" w:cstheme="majorEastAsia" w:hint="eastAsia"/>
          <w:i/>
          <w:iCs/>
          <w:color w:val="FF0000"/>
          <w:sz w:val="22"/>
          <w:szCs w:val="22"/>
        </w:rPr>
        <w:t>- n.d.r.)</w:t>
      </w:r>
      <w:r w:rsidRPr="00116BD6">
        <w:rPr>
          <w:rFonts w:asciiTheme="majorEastAsia" w:hAnsiTheme="majorEastAsia" w:cstheme="majorEastAsia" w:hint="eastAsia"/>
          <w:color w:val="000000"/>
          <w:sz w:val="22"/>
          <w:szCs w:val="22"/>
        </w:rPr>
        <w:t>, non risulti aver denunciato i fatti all'</w:t>
      </w:r>
      <w:r w:rsidRPr="00116BD6">
        <w:rPr>
          <w:rFonts w:asciiTheme="majorEastAsia" w:hAnsiTheme="majorEastAsia" w:cstheme="majorEastAsia"/>
          <w:color w:val="000000"/>
          <w:sz w:val="22"/>
          <w:szCs w:val="22"/>
        </w:rPr>
        <w:t>autorità</w:t>
      </w:r>
      <w:r w:rsidRPr="00116BD6">
        <w:rPr>
          <w:rFonts w:asciiTheme="majorEastAsia" w:hAnsiTheme="majorEastAsia" w:cstheme="majorEastAsia" w:hint="eastAsia"/>
          <w:color w:val="000000"/>
          <w:sz w:val="22"/>
          <w:szCs w:val="22"/>
        </w:rPr>
        <w:t xml:space="preserve"> giudiziaria, salvo che ricorrano i casi previsti dall'</w:t>
      </w:r>
      <w:hyperlink r:id="rId41" w:anchor="004" w:history="1">
        <w:r w:rsidRPr="00116BD6">
          <w:rPr>
            <w:rStyle w:val="Collegamentoipertestuale"/>
            <w:rFonts w:asciiTheme="majorEastAsia" w:hAnsiTheme="majorEastAsia" w:cstheme="majorEastAsia" w:hint="eastAsia"/>
            <w:sz w:val="22"/>
            <w:szCs w:val="22"/>
          </w:rPr>
          <w:t>articolo 4, primo comma, della legge 24 novembre 1981, n. 689</w:t>
        </w:r>
      </w:hyperlink>
      <w:r w:rsidRPr="00116BD6">
        <w:rPr>
          <w:rFonts w:asciiTheme="majorEastAsia" w:hAnsiTheme="majorEastAsia" w:cstheme="majorEastAsia" w:hint="eastAsia"/>
          <w:color w:val="000000"/>
          <w:sz w:val="22"/>
          <w:szCs w:val="22"/>
        </w:rPr>
        <w:t xml:space="preserve">. La circostanza di cui al primo periodo deve emergere dagli indizi a base della richiesta di rinvio a giudizio formulata nei confronti dell'imputato nell'anno antecedente alla pubblicazione del bando e deve essere comunicata, unitamente alle </w:t>
      </w:r>
      <w:r w:rsidRPr="00116BD6">
        <w:rPr>
          <w:rFonts w:asciiTheme="majorEastAsia" w:hAnsiTheme="majorEastAsia" w:cstheme="majorEastAsia"/>
          <w:color w:val="000000"/>
          <w:sz w:val="22"/>
          <w:szCs w:val="22"/>
        </w:rPr>
        <w:t>generalità</w:t>
      </w:r>
      <w:r w:rsidRPr="00116BD6">
        <w:rPr>
          <w:rFonts w:asciiTheme="majorEastAsia" w:hAnsiTheme="majorEastAsia" w:cstheme="majorEastAsia" w:hint="eastAsia"/>
          <w:color w:val="000000"/>
          <w:sz w:val="22"/>
          <w:szCs w:val="22"/>
        </w:rPr>
        <w:t xml:space="preserve"> del soggetto che ha omesso la </w:t>
      </w:r>
      <w:proofErr w:type="gramStart"/>
      <w:r w:rsidRPr="00116BD6">
        <w:rPr>
          <w:rFonts w:asciiTheme="majorEastAsia" w:hAnsiTheme="majorEastAsia" w:cstheme="majorEastAsia" w:hint="eastAsia"/>
          <w:color w:val="000000"/>
          <w:sz w:val="22"/>
          <w:szCs w:val="22"/>
        </w:rPr>
        <w:t>predetta</w:t>
      </w:r>
      <w:proofErr w:type="gramEnd"/>
      <w:r w:rsidRPr="00116BD6">
        <w:rPr>
          <w:rFonts w:asciiTheme="majorEastAsia" w:hAnsiTheme="majorEastAsia" w:cstheme="majorEastAsia" w:hint="eastAsia"/>
          <w:color w:val="000000"/>
          <w:sz w:val="22"/>
          <w:szCs w:val="22"/>
        </w:rPr>
        <w:t xml:space="preserve"> denuncia, dal procuratore della Repubblica procedente all'ANAC, la quale cura la pubblicazione della comunicazione sul sito dell'Osservatorio;</w:t>
      </w:r>
      <w:r>
        <w:rPr>
          <w:rStyle w:val="apple-converted-space"/>
          <w:rFonts w:asciiTheme="majorEastAsia" w:hAnsiTheme="majorEastAsia" w:cstheme="majorEastAsia" w:hint="eastAsia"/>
          <w:color w:val="000000"/>
          <w:sz w:val="22"/>
          <w:szCs w:val="22"/>
        </w:rPr>
        <w:t xml:space="preserve"> </w:t>
      </w:r>
    </w:p>
    <w:p w14:paraId="212CFEEF" w14:textId="77777777" w:rsidR="00E0012C" w:rsidRPr="00116BD6" w:rsidRDefault="00E0012C" w:rsidP="00E0012C">
      <w:pPr>
        <w:pStyle w:val="NormaleWeb"/>
        <w:shd w:val="clear" w:color="auto" w:fill="F5FDFE"/>
        <w:spacing w:before="0" w:beforeAutospacing="0" w:after="0" w:afterAutospacing="0"/>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m) l'operatore economico si trovi rispetto ad un altro partecipante alla medesima procedura di affidamento, in una situazione di controllo di cui all'</w:t>
      </w:r>
      <w:hyperlink r:id="rId42" w:anchor="2359" w:history="1">
        <w:r w:rsidRPr="00116BD6">
          <w:rPr>
            <w:rStyle w:val="Collegamentoipertestuale"/>
            <w:rFonts w:asciiTheme="majorEastAsia" w:hAnsiTheme="majorEastAsia" w:cstheme="majorEastAsia" w:hint="eastAsia"/>
            <w:sz w:val="22"/>
            <w:szCs w:val="22"/>
          </w:rPr>
          <w:t>articolo 2359 del codice civile</w:t>
        </w:r>
      </w:hyperlink>
      <w:r>
        <w:rPr>
          <w:rStyle w:val="apple-converted-space"/>
          <w:rFonts w:asciiTheme="majorEastAsia" w:hAnsiTheme="majorEastAsia" w:cstheme="majorEastAsia" w:hint="eastAsia"/>
          <w:color w:val="000000"/>
          <w:sz w:val="22"/>
          <w:szCs w:val="22"/>
        </w:rPr>
        <w:t xml:space="preserve"> </w:t>
      </w:r>
      <w:r w:rsidRPr="00116BD6">
        <w:rPr>
          <w:rFonts w:asciiTheme="majorEastAsia" w:hAnsiTheme="majorEastAsia" w:cstheme="majorEastAsia" w:hint="eastAsia"/>
          <w:color w:val="000000"/>
          <w:sz w:val="22"/>
          <w:szCs w:val="22"/>
        </w:rPr>
        <w:t>o in una qualsiasi relazione, anche di fatto, se la situazione di controllo o la relazione comporti che le offerte sono imputabili ad un unico centro decisionale.</w:t>
      </w:r>
      <w:r>
        <w:rPr>
          <w:rStyle w:val="apple-converted-space"/>
          <w:rFonts w:asciiTheme="majorEastAsia" w:hAnsiTheme="majorEastAsia" w:cstheme="majorEastAsia" w:hint="eastAsia"/>
          <w:color w:val="000000"/>
          <w:sz w:val="22"/>
          <w:szCs w:val="22"/>
        </w:rPr>
        <w:t xml:space="preserve"> </w:t>
      </w:r>
    </w:p>
    <w:p w14:paraId="563CC820"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6. Le stazioni appaltanti escludono un operatore economico in qualunque momento della procedura, qualora risulti che l'operatore economico si trova, a causa di atti compiuti o omessi prima o nel corso della procedura, in una delle situazioni di cui ai commi 1, 2, 4 e 5.</w:t>
      </w:r>
      <w:r>
        <w:rPr>
          <w:rStyle w:val="apple-converted-space"/>
          <w:rFonts w:asciiTheme="majorEastAsia" w:hAnsiTheme="majorEastAsia" w:cstheme="majorEastAsia" w:hint="eastAsia"/>
          <w:color w:val="000000"/>
          <w:sz w:val="22"/>
          <w:szCs w:val="22"/>
        </w:rPr>
        <w:t xml:space="preserve"> </w:t>
      </w:r>
    </w:p>
    <w:p w14:paraId="74D66164"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7. Un 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ammesso a provare di aver risarcito o di essersi impegnato a risarcire qualunque danno causato dal reato o dall'illecito e di aver adottato provvedimenti concreti di carattere tecnico, organizzativo e relativi al personale idonei a prevenire ulteriori reati o illeciti.</w:t>
      </w:r>
      <w:r>
        <w:rPr>
          <w:rStyle w:val="apple-converted-space"/>
          <w:rFonts w:asciiTheme="majorEastAsia" w:hAnsiTheme="majorEastAsia" w:cstheme="majorEastAsia" w:hint="eastAsia"/>
          <w:color w:val="000000"/>
          <w:sz w:val="22"/>
          <w:szCs w:val="22"/>
        </w:rPr>
        <w:t xml:space="preserve"> </w:t>
      </w:r>
      <w:r>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modificato dall'art. 10, comma 1, della legge n. 238 del 2021)</w:t>
      </w:r>
    </w:p>
    <w:p w14:paraId="5F633D80"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8. Se la stazione appaltante ritiene che le misure di cui al comma 7 sono sufficienti, l'operatore economico non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escluso della procedura d'appalto; </w:t>
      </w:r>
      <w:proofErr w:type="gramStart"/>
      <w:r w:rsidRPr="00116BD6">
        <w:rPr>
          <w:rFonts w:asciiTheme="majorEastAsia" w:hAnsiTheme="majorEastAsia" w:cstheme="majorEastAsia" w:hint="eastAsia"/>
          <w:color w:val="000000"/>
          <w:sz w:val="22"/>
          <w:szCs w:val="22"/>
        </w:rPr>
        <w:t>viceversa</w:t>
      </w:r>
      <w:proofErr w:type="gramEnd"/>
      <w:r w:rsidRPr="00116BD6">
        <w:rPr>
          <w:rFonts w:asciiTheme="majorEastAsia" w:hAnsiTheme="majorEastAsia" w:cstheme="majorEastAsia" w:hint="eastAsia"/>
          <w:color w:val="000000"/>
          <w:sz w:val="22"/>
          <w:szCs w:val="22"/>
        </w:rPr>
        <w:t xml:space="preserve"> dell'esclusione viene data motivata comunicazione all'operatore economico.</w:t>
      </w:r>
      <w:r>
        <w:rPr>
          <w:rStyle w:val="apple-converted-space"/>
          <w:rFonts w:asciiTheme="majorEastAsia" w:hAnsiTheme="majorEastAsia" w:cstheme="majorEastAsia" w:hint="eastAsia"/>
          <w:color w:val="000000"/>
          <w:sz w:val="22"/>
          <w:szCs w:val="22"/>
        </w:rPr>
        <w:t xml:space="preserve"> </w:t>
      </w:r>
    </w:p>
    <w:p w14:paraId="7D3B4138"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lastRenderedPageBreak/>
        <w:t xml:space="preserve">9. Un operatore economico escluso con sentenza definitiva dalla partecipazione alle procedure di appalto non </w:t>
      </w:r>
      <w:r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avvalersi della </w:t>
      </w:r>
      <w:r w:rsidRPr="00116BD6">
        <w:rPr>
          <w:rFonts w:asciiTheme="majorEastAsia" w:hAnsiTheme="majorEastAsia" w:cstheme="majorEastAsia"/>
          <w:color w:val="000000"/>
          <w:sz w:val="22"/>
          <w:szCs w:val="22"/>
        </w:rPr>
        <w:t>possibilità</w:t>
      </w:r>
      <w:r w:rsidRPr="00116BD6">
        <w:rPr>
          <w:rFonts w:asciiTheme="majorEastAsia" w:hAnsiTheme="majorEastAsia" w:cstheme="majorEastAsia" w:hint="eastAsia"/>
          <w:color w:val="000000"/>
          <w:sz w:val="22"/>
          <w:szCs w:val="22"/>
        </w:rPr>
        <w:t xml:space="preserve"> prevista dai commi 7 e 8 nel corso del periodo di esclusione derivante da tale sentenza.</w:t>
      </w:r>
      <w:r>
        <w:rPr>
          <w:rStyle w:val="apple-converted-space"/>
          <w:rFonts w:asciiTheme="majorEastAsia" w:hAnsiTheme="majorEastAsia" w:cstheme="majorEastAsia" w:hint="eastAsia"/>
          <w:color w:val="000000"/>
          <w:sz w:val="22"/>
          <w:szCs w:val="22"/>
        </w:rPr>
        <w:t xml:space="preserve"> </w:t>
      </w:r>
    </w:p>
    <w:p w14:paraId="65420CDC"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10. Se la sentenza penale di condanna definitiva non fissa la durata della pena accessoria della </w:t>
      </w:r>
      <w:r w:rsidRPr="00116BD6">
        <w:rPr>
          <w:rFonts w:asciiTheme="majorEastAsia" w:hAnsiTheme="majorEastAsia" w:cstheme="majorEastAsia"/>
          <w:color w:val="000000"/>
          <w:sz w:val="22"/>
          <w:szCs w:val="22"/>
        </w:rPr>
        <w:t>incapacità</w:t>
      </w:r>
      <w:r w:rsidRPr="00116BD6">
        <w:rPr>
          <w:rFonts w:asciiTheme="majorEastAsia" w:hAnsiTheme="majorEastAsia" w:cstheme="majorEastAsia" w:hint="eastAsia"/>
          <w:color w:val="000000"/>
          <w:sz w:val="22"/>
          <w:szCs w:val="22"/>
        </w:rPr>
        <w:t xml:space="preserve"> di contrattare con la pubblica amministrazione, la durata della esclusione dalla procedura d</w:t>
      </w:r>
      <w:r>
        <w:rPr>
          <w:rFonts w:asciiTheme="majorEastAsia" w:hAnsiTheme="majorEastAsia" w:cstheme="majorEastAsia"/>
          <w:color w:val="000000"/>
          <w:sz w:val="22"/>
          <w:szCs w:val="22"/>
        </w:rPr>
        <w:t>’</w:t>
      </w:r>
      <w:r w:rsidRPr="00116BD6">
        <w:rPr>
          <w:rFonts w:asciiTheme="majorEastAsia" w:hAnsiTheme="majorEastAsia" w:cstheme="majorEastAsia" w:hint="eastAsia"/>
          <w:color w:val="000000"/>
          <w:sz w:val="22"/>
          <w:szCs w:val="22"/>
        </w:rPr>
        <w:t>appalto o concession</w:t>
      </w:r>
      <w:r>
        <w:rPr>
          <w:rFonts w:asciiTheme="majorEastAsia" w:hAnsiTheme="majorEastAsia" w:cstheme="majorEastAsia"/>
          <w:color w:val="000000"/>
          <w:sz w:val="22"/>
          <w:szCs w:val="22"/>
        </w:rPr>
        <w:t>e è</w:t>
      </w:r>
      <w:r w:rsidRPr="00116BD6">
        <w:rPr>
          <w:rFonts w:asciiTheme="majorEastAsia" w:hAnsiTheme="majorEastAsia" w:cstheme="majorEastAsia" w:hint="eastAsia"/>
          <w:color w:val="000000"/>
          <w:sz w:val="22"/>
          <w:szCs w:val="22"/>
        </w:rPr>
        <w:t>:</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cos</w:t>
      </w:r>
      <w:r w:rsidRPr="00116BD6">
        <w:rPr>
          <w:rFonts w:asciiTheme="majorEastAsia" w:hAnsiTheme="majorEastAsia" w:cstheme="majorEastAsia" w:hint="eastAsia"/>
          <w:i/>
          <w:iCs/>
          <w:color w:val="FF0000"/>
          <w:sz w:val="22"/>
          <w:szCs w:val="22"/>
        </w:rPr>
        <w:t>ì</w:t>
      </w:r>
      <w:r w:rsidRPr="00116BD6">
        <w:rPr>
          <w:rFonts w:asciiTheme="majorEastAsia" w:hAnsiTheme="majorEastAsia" w:cstheme="majorEastAsia" w:hint="eastAsia"/>
          <w:i/>
          <w:iCs/>
          <w:color w:val="FF0000"/>
          <w:sz w:val="22"/>
          <w:szCs w:val="22"/>
        </w:rPr>
        <w:t xml:space="preserve"> sostituito dall'art. 1, comma 20, lettera o), della legge n. 55 del 2019)</w:t>
      </w:r>
    </w:p>
    <w:p w14:paraId="31F43627"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a) perpetua, nei casi in cui alla condanna consegue di diritto la pena accessoria perpetua, ai sensi dell</w:t>
      </w:r>
      <w:r>
        <w:rPr>
          <w:rFonts w:asciiTheme="majorEastAsia" w:eastAsia="SimSun" w:hAnsiTheme="majorEastAsia" w:cstheme="majorEastAsia"/>
          <w:color w:val="000000"/>
          <w:sz w:val="22"/>
          <w:szCs w:val="22"/>
        </w:rPr>
        <w:t>’</w:t>
      </w:r>
      <w:hyperlink r:id="rId43" w:anchor="317.bis" w:history="1">
        <w:r w:rsidRPr="00116BD6">
          <w:rPr>
            <w:rStyle w:val="Collegamentoipertestuale"/>
            <w:rFonts w:asciiTheme="majorEastAsia" w:hAnsiTheme="majorEastAsia" w:cstheme="majorEastAsia" w:hint="eastAsia"/>
            <w:sz w:val="22"/>
            <w:szCs w:val="22"/>
          </w:rPr>
          <w:t>articolo 317-bis, primo comma, primo periodo, del codice penale</w:t>
        </w:r>
      </w:hyperlink>
      <w:r w:rsidRPr="00116BD6">
        <w:rPr>
          <w:rFonts w:asciiTheme="majorEastAsia" w:hAnsiTheme="majorEastAsia" w:cstheme="majorEastAsia" w:hint="eastAsia"/>
          <w:color w:val="000000"/>
          <w:sz w:val="22"/>
          <w:szCs w:val="22"/>
        </w:rPr>
        <w:t>, salvo che la pena sia dichiarata estinta ai sensi dell</w:t>
      </w:r>
      <w:r>
        <w:rPr>
          <w:rFonts w:asciiTheme="majorEastAsia" w:eastAsia="SimSun" w:hAnsiTheme="majorEastAsia" w:cstheme="majorEastAsia"/>
          <w:color w:val="000000"/>
          <w:sz w:val="22"/>
          <w:szCs w:val="22"/>
        </w:rPr>
        <w:t>’</w:t>
      </w:r>
      <w:hyperlink r:id="rId44" w:anchor="179" w:history="1">
        <w:r w:rsidRPr="00116BD6">
          <w:rPr>
            <w:rStyle w:val="Collegamentoipertestuale"/>
            <w:rFonts w:asciiTheme="majorEastAsia" w:hAnsiTheme="majorEastAsia" w:cstheme="majorEastAsia" w:hint="eastAsia"/>
            <w:sz w:val="22"/>
            <w:szCs w:val="22"/>
          </w:rPr>
          <w:t>articolo 179, settimo comma, del codice penale</w:t>
        </w:r>
      </w:hyperlink>
      <w:r w:rsidRPr="00116BD6">
        <w:rPr>
          <w:rFonts w:asciiTheme="majorEastAsia" w:hAnsiTheme="majorEastAsia" w:cstheme="majorEastAsia" w:hint="eastAsia"/>
          <w:color w:val="000000"/>
          <w:sz w:val="22"/>
          <w:szCs w:val="22"/>
        </w:rPr>
        <w:t>;</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b) pari a sette anni nei casi previsti dall</w:t>
      </w:r>
      <w:r>
        <w:rPr>
          <w:rFonts w:asciiTheme="majorEastAsia" w:eastAsia="SimSun" w:hAnsiTheme="majorEastAsia" w:cstheme="majorEastAsia"/>
          <w:color w:val="000000"/>
          <w:sz w:val="22"/>
          <w:szCs w:val="22"/>
        </w:rPr>
        <w:t>’</w:t>
      </w:r>
      <w:hyperlink r:id="rId45" w:anchor="317.bis" w:history="1">
        <w:r w:rsidRPr="00116BD6">
          <w:rPr>
            <w:rStyle w:val="Collegamentoipertestuale"/>
            <w:rFonts w:asciiTheme="majorEastAsia" w:hAnsiTheme="majorEastAsia" w:cstheme="majorEastAsia" w:hint="eastAsia"/>
            <w:sz w:val="22"/>
            <w:szCs w:val="22"/>
          </w:rPr>
          <w:t>articolo 317-bis, primo comma, secondo periodo, del codice penale</w:t>
        </w:r>
      </w:hyperlink>
      <w:r w:rsidRPr="00116BD6">
        <w:rPr>
          <w:rFonts w:asciiTheme="majorEastAsia" w:hAnsiTheme="majorEastAsia" w:cstheme="majorEastAsia" w:hint="eastAsia"/>
          <w:color w:val="000000"/>
          <w:sz w:val="22"/>
          <w:szCs w:val="22"/>
        </w:rPr>
        <w:t>, salvo che sia intervenuta riabilitazione;</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t>c) pari a cinque anni nei casi diversi da quelli di cui alle lettere a) e b), salvo che sia intervenuta riabilitazione.</w:t>
      </w:r>
      <w:r>
        <w:rPr>
          <w:rStyle w:val="apple-converted-space"/>
          <w:rFonts w:asciiTheme="majorEastAsia" w:hAnsiTheme="majorEastAsia" w:cstheme="majorEastAsia" w:hint="eastAsia"/>
          <w:color w:val="000000"/>
          <w:sz w:val="22"/>
          <w:szCs w:val="22"/>
        </w:rPr>
        <w:t xml:space="preserve"> </w:t>
      </w:r>
    </w:p>
    <w:p w14:paraId="00CE5508"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10-bis. Nei casi di cui alle lettere b) e c) del comma 10, se la pena principale ha una durata inferiore, rispettivamente, a sette e cinque anni di reclusione, la durata della esclusione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pari alla durata della pena principale. Nei casi di cui al comma 5, la durata della esclusione </w:t>
      </w:r>
      <w:r w:rsidRPr="00116BD6">
        <w:rPr>
          <w:rFonts w:asciiTheme="majorEastAsia" w:hAnsiTheme="majorEastAsia" w:cstheme="majorEastAsia" w:hint="eastAsia"/>
          <w:color w:val="000000"/>
          <w:sz w:val="22"/>
          <w:szCs w:val="22"/>
        </w:rPr>
        <w:t>è</w:t>
      </w:r>
      <w:r w:rsidRPr="00116BD6">
        <w:rPr>
          <w:rFonts w:asciiTheme="majorEastAsia" w:hAnsiTheme="majorEastAsia" w:cstheme="majorEastAsia" w:hint="eastAsia"/>
          <w:color w:val="000000"/>
          <w:sz w:val="22"/>
          <w:szCs w:val="22"/>
        </w:rPr>
        <w:t xml:space="preserve"> pari a tre anni, decorrenti dalla data di adozione del provvedimento amministrativo di esclusione ovvero, in caso di contestazione in giudizio, dalla data di passaggio in giudicato della sentenza. Nel tempo occorrente alla definizione del giudizio, la stazione appaltante deve tenere conto di tale fatto ai fini della propria valutazione circa la sussistenza del presupposto per escludere dalla partecipazione alla procedura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operatore economico che l</w:t>
      </w:r>
      <w:r w:rsidRPr="00116BD6">
        <w:rPr>
          <w:rFonts w:asciiTheme="majorEastAsia" w:hAnsiTheme="majorEastAsia" w:cstheme="majorEastAsia" w:hint="eastAsia"/>
          <w:color w:val="000000"/>
          <w:sz w:val="22"/>
          <w:szCs w:val="22"/>
        </w:rPr>
        <w:t>’</w:t>
      </w:r>
      <w:r w:rsidRPr="00116BD6">
        <w:rPr>
          <w:rFonts w:asciiTheme="majorEastAsia" w:hAnsiTheme="majorEastAsia" w:cstheme="majorEastAsia" w:hint="eastAsia"/>
          <w:color w:val="000000"/>
          <w:sz w:val="22"/>
          <w:szCs w:val="22"/>
        </w:rPr>
        <w:t>abbia commesso.</w:t>
      </w:r>
      <w:r>
        <w:rPr>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(comma introdotto dall'art. 1, comma 20, lettera o), della legge n. 55 del 2019)</w:t>
      </w:r>
    </w:p>
    <w:p w14:paraId="06A0C5BD"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 xml:space="preserve">11. Le cause di esclusione previste dal presente articolo non si applicano alle aziende o </w:t>
      </w:r>
      <w:proofErr w:type="spellStart"/>
      <w:r w:rsidRPr="00116BD6">
        <w:rPr>
          <w:rFonts w:asciiTheme="majorEastAsia" w:hAnsiTheme="majorEastAsia" w:cstheme="majorEastAsia" w:hint="eastAsia"/>
          <w:color w:val="000000"/>
          <w:sz w:val="22"/>
          <w:szCs w:val="22"/>
        </w:rPr>
        <w:t>societ</w:t>
      </w:r>
      <w:proofErr w:type="spellEnd"/>
      <w:r w:rsidRPr="00116BD6">
        <w:rPr>
          <w:rFonts w:asciiTheme="majorEastAsia" w:hAnsiTheme="majorEastAsia" w:cstheme="majorEastAsia" w:hint="eastAsia"/>
          <w:color w:val="000000"/>
          <w:sz w:val="22"/>
          <w:szCs w:val="22"/>
        </w:rPr>
        <w:t>à</w:t>
      </w:r>
      <w:r w:rsidRPr="00116BD6">
        <w:rPr>
          <w:rFonts w:asciiTheme="majorEastAsia" w:hAnsiTheme="majorEastAsia" w:cstheme="majorEastAsia" w:hint="eastAsia"/>
          <w:color w:val="000000"/>
          <w:sz w:val="22"/>
          <w:szCs w:val="22"/>
        </w:rPr>
        <w:t xml:space="preserve"> sottoposte a sequestro o confisca ai sensi dell'articolo 12-sexies del decreto-legge 8 giugno 1992, n. 306, convertito, con modificazioni, dalla legge 7 agosto 1992, n. 356 o degli</w:t>
      </w:r>
      <w:r>
        <w:rPr>
          <w:rStyle w:val="apple-converted-space"/>
          <w:rFonts w:asciiTheme="majorEastAsia" w:hAnsiTheme="majorEastAsia" w:cstheme="majorEastAsia" w:hint="eastAsia"/>
          <w:color w:val="000000"/>
          <w:sz w:val="22"/>
          <w:szCs w:val="22"/>
        </w:rPr>
        <w:t xml:space="preserve"> </w:t>
      </w:r>
      <w:hyperlink r:id="rId46" w:anchor="020" w:history="1">
        <w:r w:rsidRPr="00116BD6">
          <w:rPr>
            <w:rStyle w:val="Collegamentoipertestuale"/>
            <w:rFonts w:asciiTheme="majorEastAsia" w:hAnsiTheme="majorEastAsia" w:cstheme="majorEastAsia" w:hint="eastAsia"/>
            <w:sz w:val="22"/>
            <w:szCs w:val="22"/>
          </w:rPr>
          <w:t>articoli 20 e 24 del decreto legislativo 6 settembre 2011 n. 159</w:t>
        </w:r>
      </w:hyperlink>
      <w:r w:rsidRPr="00116BD6">
        <w:rPr>
          <w:rFonts w:asciiTheme="majorEastAsia" w:hAnsiTheme="majorEastAsia" w:cstheme="majorEastAsia" w:hint="eastAsia"/>
          <w:color w:val="000000"/>
          <w:sz w:val="22"/>
          <w:szCs w:val="22"/>
        </w:rPr>
        <w:t>, ed affidate ad un custode o amministratore giudiziario o finanziario, limitatamente a quelle riferite al periodo precedente al predetto affidamento.</w:t>
      </w:r>
      <w:r>
        <w:rPr>
          <w:rStyle w:val="apple-converted-space"/>
          <w:rFonts w:asciiTheme="majorEastAsia" w:hAnsiTheme="majorEastAsia" w:cstheme="majorEastAsia" w:hint="eastAsia"/>
          <w:color w:val="000000"/>
          <w:sz w:val="22"/>
          <w:szCs w:val="22"/>
        </w:rPr>
        <w:t xml:space="preserve"> </w:t>
      </w:r>
    </w:p>
    <w:p w14:paraId="60CE8F1E" w14:textId="77777777" w:rsidR="00E0012C" w:rsidRPr="00116BD6" w:rsidRDefault="00E0012C" w:rsidP="00E0012C">
      <w:pPr>
        <w:pStyle w:val="NormaleWeb"/>
        <w:jc w:val="both"/>
        <w:rPr>
          <w:rFonts w:asciiTheme="majorEastAsia" w:hAnsiTheme="majorEastAsia" w:cstheme="majorEastAsia"/>
          <w:color w:val="000000"/>
          <w:sz w:val="22"/>
          <w:szCs w:val="22"/>
          <w:shd w:val="clear" w:color="auto" w:fill="F5FDFE"/>
        </w:rPr>
      </w:pPr>
      <w:r w:rsidRPr="00116BD6">
        <w:rPr>
          <w:rFonts w:asciiTheme="majorEastAsia" w:hAnsiTheme="majorEastAsia" w:cstheme="majorEastAsia" w:hint="eastAsia"/>
          <w:color w:val="000000"/>
          <w:sz w:val="22"/>
          <w:szCs w:val="22"/>
          <w:shd w:val="clear" w:color="auto" w:fill="F5FDFE"/>
        </w:rPr>
        <w:t>12. In caso di presentazione di falsa dichiarazione o falsa documentazione, nelle procedure di gara e negli affidamenti di subappalto, la stazione appaltante ne d</w:t>
      </w:r>
      <w:r w:rsidRPr="00116BD6">
        <w:rPr>
          <w:rFonts w:asciiTheme="majorEastAsia" w:hAnsiTheme="majorEastAsia" w:cstheme="majorEastAsia" w:hint="eastAsia"/>
          <w:color w:val="000000"/>
          <w:sz w:val="22"/>
          <w:szCs w:val="22"/>
          <w:shd w:val="clear" w:color="auto" w:fill="F5FDFE"/>
        </w:rPr>
        <w:t>à</w:t>
      </w:r>
      <w:r w:rsidRPr="00116BD6">
        <w:rPr>
          <w:rFonts w:asciiTheme="majorEastAsia" w:hAnsiTheme="majorEastAsia" w:cstheme="majorEastAsia" w:hint="eastAsia"/>
          <w:color w:val="000000"/>
          <w:sz w:val="22"/>
          <w:szCs w:val="22"/>
          <w:shd w:val="clear" w:color="auto" w:fill="F5FDFE"/>
        </w:rPr>
        <w:t xml:space="preserve"> segnalazione all'</w:t>
      </w:r>
      <w:r w:rsidRPr="00116BD6">
        <w:rPr>
          <w:rFonts w:asciiTheme="majorEastAsia" w:hAnsiTheme="majorEastAsia" w:cstheme="majorEastAsia"/>
          <w:color w:val="000000"/>
          <w:sz w:val="22"/>
          <w:szCs w:val="22"/>
          <w:shd w:val="clear" w:color="auto" w:fill="F5FDFE"/>
        </w:rPr>
        <w:t>Autorità</w:t>
      </w:r>
      <w:r w:rsidRPr="00116BD6">
        <w:rPr>
          <w:rFonts w:asciiTheme="majorEastAsia" w:hAnsiTheme="majorEastAsia" w:cstheme="majorEastAsia" w:hint="eastAsia"/>
          <w:color w:val="000000"/>
          <w:sz w:val="22"/>
          <w:szCs w:val="22"/>
          <w:shd w:val="clear" w:color="auto" w:fill="F5FDFE"/>
        </w:rPr>
        <w:t xml:space="preserve"> che, se ritiene che siano state rese con dolo o colpa grave in considerazione della rilevanza o della </w:t>
      </w:r>
      <w:r w:rsidRPr="00116BD6">
        <w:rPr>
          <w:rFonts w:asciiTheme="majorEastAsia" w:hAnsiTheme="majorEastAsia" w:cstheme="majorEastAsia"/>
          <w:color w:val="000000"/>
          <w:sz w:val="22"/>
          <w:szCs w:val="22"/>
          <w:shd w:val="clear" w:color="auto" w:fill="F5FDFE"/>
        </w:rPr>
        <w:t>gravita</w:t>
      </w:r>
      <w:r w:rsidRPr="00116BD6">
        <w:rPr>
          <w:rFonts w:asciiTheme="majorEastAsia" w:hAnsiTheme="majorEastAsia" w:cstheme="majorEastAsia" w:hint="eastAsia"/>
          <w:color w:val="000000"/>
          <w:sz w:val="22"/>
          <w:szCs w:val="22"/>
          <w:shd w:val="clear" w:color="auto" w:fill="F5FDFE"/>
        </w:rPr>
        <w:t xml:space="preserve">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w:t>
      </w:r>
      <w:r w:rsidRPr="00116BD6">
        <w:rPr>
          <w:rFonts w:asciiTheme="majorEastAsia" w:hAnsiTheme="majorEastAsia" w:cstheme="majorEastAsia" w:hint="eastAsia"/>
          <w:color w:val="000000"/>
          <w:sz w:val="22"/>
          <w:szCs w:val="22"/>
          <w:shd w:val="clear" w:color="auto" w:fill="F5FDFE"/>
        </w:rPr>
        <w:t>è</w:t>
      </w:r>
      <w:r w:rsidRPr="00116BD6">
        <w:rPr>
          <w:rFonts w:asciiTheme="majorEastAsia" w:hAnsiTheme="majorEastAsia" w:cstheme="majorEastAsia" w:hint="eastAsia"/>
          <w:color w:val="000000"/>
          <w:sz w:val="22"/>
          <w:szCs w:val="22"/>
          <w:shd w:val="clear" w:color="auto" w:fill="F5FDFE"/>
        </w:rPr>
        <w:t xml:space="preserve"> cancellata e perde comunque efficacia.</w:t>
      </w:r>
      <w:r>
        <w:rPr>
          <w:rStyle w:val="apple-converted-space"/>
          <w:rFonts w:asciiTheme="majorEastAsia" w:hAnsiTheme="majorEastAsia" w:cstheme="majorEastAsia" w:hint="eastAsia"/>
          <w:color w:val="000000"/>
          <w:sz w:val="22"/>
          <w:szCs w:val="22"/>
          <w:shd w:val="clear" w:color="auto" w:fill="F5FDFE"/>
        </w:rPr>
        <w:t xml:space="preserve"> </w:t>
      </w:r>
      <w:r>
        <w:rPr>
          <w:rStyle w:val="apple-converted-space"/>
          <w:rFonts w:asciiTheme="majorEastAsia" w:hAnsiTheme="majorEastAsia" w:cstheme="majorEastAsia"/>
          <w:color w:val="000000"/>
          <w:sz w:val="22"/>
          <w:szCs w:val="22"/>
          <w:shd w:val="clear" w:color="auto" w:fill="F5FDFE"/>
        </w:rPr>
        <w:tab/>
      </w:r>
      <w:r w:rsidRPr="00116BD6">
        <w:rPr>
          <w:rFonts w:asciiTheme="majorEastAsia" w:hAnsiTheme="majorEastAsia" w:cstheme="majorEastAsia" w:hint="eastAsia"/>
          <w:color w:val="000000"/>
          <w:sz w:val="22"/>
          <w:szCs w:val="22"/>
          <w:shd w:val="clear" w:color="auto" w:fill="F5FDFE"/>
        </w:rPr>
        <w:br/>
      </w:r>
      <w:r w:rsidRPr="00116BD6">
        <w:rPr>
          <w:rFonts w:asciiTheme="majorEastAsia" w:hAnsiTheme="majorEastAsia" w:cstheme="majorEastAsia" w:hint="eastAsia"/>
          <w:i/>
          <w:iCs/>
          <w:color w:val="FF0000"/>
          <w:sz w:val="22"/>
          <w:szCs w:val="22"/>
          <w:shd w:val="clear" w:color="auto" w:fill="F5FDFE"/>
        </w:rPr>
        <w:t>(l'esclusione non si applica automaticamente all'operatore economico ausiliario ai sensi dell'</w:t>
      </w:r>
      <w:hyperlink r:id="rId47" w:anchor="089" w:history="1">
        <w:r w:rsidRPr="00116BD6">
          <w:rPr>
            <w:rStyle w:val="Collegamentoipertestuale"/>
            <w:rFonts w:asciiTheme="majorEastAsia" w:hAnsiTheme="majorEastAsia" w:cstheme="majorEastAsia" w:hint="eastAsia"/>
            <w:i/>
            <w:iCs/>
            <w:sz w:val="22"/>
            <w:szCs w:val="22"/>
            <w:shd w:val="clear" w:color="auto" w:fill="F5FDFE"/>
          </w:rPr>
          <w:t>articolo 89, commi 1 e 3</w:t>
        </w:r>
      </w:hyperlink>
      <w:r w:rsidRPr="00116BD6">
        <w:rPr>
          <w:rFonts w:asciiTheme="majorEastAsia" w:hAnsiTheme="majorEastAsia" w:cstheme="majorEastAsia" w:hint="eastAsia"/>
          <w:i/>
          <w:iCs/>
          <w:color w:val="FF0000"/>
          <w:sz w:val="22"/>
          <w:szCs w:val="22"/>
          <w:shd w:val="clear" w:color="auto" w:fill="F5FDFE"/>
        </w:rPr>
        <w:t>)</w:t>
      </w:r>
    </w:p>
    <w:p w14:paraId="6F5564B8" w14:textId="77777777" w:rsidR="00E0012C" w:rsidRPr="00116BD6" w:rsidRDefault="00E0012C" w:rsidP="00E0012C">
      <w:pPr>
        <w:pStyle w:val="NormaleWeb"/>
        <w:shd w:val="clear" w:color="auto" w:fill="F5FDFE"/>
        <w:jc w:val="both"/>
        <w:rPr>
          <w:rFonts w:asciiTheme="majorEastAsia" w:hAnsiTheme="majorEastAsia" w:cstheme="majorEastAsia"/>
          <w:color w:val="000000"/>
          <w:sz w:val="22"/>
          <w:szCs w:val="22"/>
        </w:rPr>
      </w:pPr>
      <w:r w:rsidRPr="00116BD6">
        <w:rPr>
          <w:rFonts w:asciiTheme="majorEastAsia" w:hAnsiTheme="majorEastAsia" w:cstheme="majorEastAsia" w:hint="eastAsia"/>
          <w:color w:val="000000"/>
          <w:sz w:val="22"/>
          <w:szCs w:val="22"/>
        </w:rPr>
        <w:t>13. Con</w:t>
      </w:r>
      <w:r>
        <w:rPr>
          <w:rStyle w:val="apple-converted-space"/>
          <w:rFonts w:asciiTheme="majorEastAsia" w:hAnsiTheme="majorEastAsia" w:cstheme="majorEastAsia" w:hint="eastAsia"/>
          <w:color w:val="000000"/>
          <w:sz w:val="22"/>
          <w:szCs w:val="22"/>
        </w:rPr>
        <w:t xml:space="preserve"> </w:t>
      </w:r>
      <w:hyperlink r:id="rId48" w:tgtFrame="_blank" w:history="1">
        <w:r w:rsidRPr="00116BD6">
          <w:rPr>
            <w:rStyle w:val="Collegamentoipertestuale"/>
            <w:rFonts w:asciiTheme="majorEastAsia" w:hAnsiTheme="majorEastAsia" w:cstheme="majorEastAsia" w:hint="eastAsia"/>
            <w:sz w:val="22"/>
            <w:szCs w:val="22"/>
          </w:rPr>
          <w:t>linee guida l'ANAC</w:t>
        </w:r>
      </w:hyperlink>
      <w:r w:rsidRPr="00116BD6">
        <w:rPr>
          <w:rFonts w:asciiTheme="majorEastAsia" w:hAnsiTheme="majorEastAsia" w:cstheme="majorEastAsia" w:hint="eastAsia"/>
          <w:color w:val="000000"/>
          <w:sz w:val="22"/>
          <w:szCs w:val="22"/>
        </w:rPr>
        <w:t xml:space="preserve">, da adottarsi entro novanta giorni dalla data di entrata in vigore del presente codice, </w:t>
      </w:r>
      <w:r w:rsidRPr="00116BD6">
        <w:rPr>
          <w:rFonts w:asciiTheme="majorEastAsia" w:hAnsiTheme="majorEastAsia" w:cstheme="majorEastAsia"/>
          <w:color w:val="000000"/>
          <w:sz w:val="22"/>
          <w:szCs w:val="22"/>
        </w:rPr>
        <w:t>può</w:t>
      </w:r>
      <w:r w:rsidRPr="00116BD6">
        <w:rPr>
          <w:rFonts w:asciiTheme="majorEastAsia" w:hAnsiTheme="majorEastAsia" w:cstheme="majorEastAsia" w:hint="eastAsia"/>
          <w:color w:val="000000"/>
          <w:sz w:val="22"/>
          <w:szCs w:val="22"/>
        </w:rPr>
        <w:t xml:space="preserve"> precisare, al fine di garantire </w:t>
      </w:r>
      <w:r w:rsidRPr="00116BD6">
        <w:rPr>
          <w:rFonts w:asciiTheme="majorEastAsia" w:hAnsiTheme="majorEastAsia" w:cstheme="majorEastAsia"/>
          <w:color w:val="000000"/>
          <w:sz w:val="22"/>
          <w:szCs w:val="22"/>
        </w:rPr>
        <w:t>omogeneità</w:t>
      </w:r>
      <w:r w:rsidRPr="00116BD6">
        <w:rPr>
          <w:rFonts w:asciiTheme="majorEastAsia" w:hAnsiTheme="majorEastAsia" w:cstheme="majorEastAsia" w:hint="eastAsia"/>
          <w:color w:val="000000"/>
          <w:sz w:val="22"/>
          <w:szCs w:val="22"/>
        </w:rPr>
        <w:t xml:space="preserve"> di prassi da parte delle stazioni appaltanti, quali mezzi di prova considerare adeguati per la dimostrazione delle circostanze di esclusione di cui al comma 5, lettera c), ovvero quali carenze nell'esecuzione di un procedente contratto di appalto siano significative ai fini del medesimo comma 5, lettera c).</w:t>
      </w:r>
      <w:r>
        <w:rPr>
          <w:rStyle w:val="apple-converted-space"/>
          <w:rFonts w:asciiTheme="majorEastAsia" w:hAnsiTheme="majorEastAsia" w:cstheme="majorEastAsia" w:hint="eastAsia"/>
          <w:color w:val="000000"/>
          <w:sz w:val="22"/>
          <w:szCs w:val="22"/>
        </w:rPr>
        <w:t xml:space="preserve"> </w:t>
      </w:r>
      <w:r>
        <w:rPr>
          <w:rStyle w:val="apple-converted-space"/>
          <w:rFonts w:asciiTheme="majorEastAsia" w:hAnsiTheme="majorEastAsia" w:cstheme="majorEastAsia"/>
          <w:color w:val="000000"/>
          <w:sz w:val="22"/>
          <w:szCs w:val="22"/>
        </w:rPr>
        <w:tab/>
      </w:r>
      <w:r w:rsidRPr="00116BD6">
        <w:rPr>
          <w:rFonts w:asciiTheme="majorEastAsia" w:hAnsiTheme="majorEastAsia" w:cstheme="majorEastAsia" w:hint="eastAsia"/>
          <w:color w:val="000000"/>
          <w:sz w:val="22"/>
          <w:szCs w:val="22"/>
        </w:rPr>
        <w:br/>
      </w:r>
      <w:r w:rsidRPr="00116BD6">
        <w:rPr>
          <w:rFonts w:asciiTheme="majorEastAsia" w:hAnsiTheme="majorEastAsia" w:cstheme="majorEastAsia" w:hint="eastAsia"/>
          <w:i/>
          <w:iCs/>
          <w:color w:val="FF0000"/>
          <w:sz w:val="22"/>
          <w:szCs w:val="22"/>
        </w:rPr>
        <w:t>(si vedano le</w:t>
      </w:r>
      <w:r>
        <w:rPr>
          <w:rStyle w:val="apple-converted-space"/>
          <w:rFonts w:asciiTheme="majorEastAsia" w:hAnsiTheme="majorEastAsia" w:cstheme="majorEastAsia" w:hint="eastAsia"/>
          <w:i/>
          <w:iCs/>
          <w:color w:val="FF0000"/>
          <w:sz w:val="22"/>
          <w:szCs w:val="22"/>
        </w:rPr>
        <w:t xml:space="preserve"> </w:t>
      </w:r>
      <w:hyperlink r:id="rId49" w:tgtFrame="_blank" w:history="1">
        <w:r w:rsidRPr="00116BD6">
          <w:rPr>
            <w:rStyle w:val="Collegamentoipertestuale"/>
            <w:rFonts w:asciiTheme="majorEastAsia" w:hAnsiTheme="majorEastAsia" w:cstheme="majorEastAsia" w:hint="eastAsia"/>
            <w:i/>
            <w:iCs/>
            <w:sz w:val="22"/>
            <w:szCs w:val="22"/>
          </w:rPr>
          <w:t>Linee guida n. 6</w:t>
        </w:r>
      </w:hyperlink>
      <w:r>
        <w:rPr>
          <w:rStyle w:val="apple-converted-space"/>
          <w:rFonts w:asciiTheme="majorEastAsia" w:hAnsiTheme="majorEastAsia" w:cstheme="majorEastAsia" w:hint="eastAsia"/>
          <w:i/>
          <w:iCs/>
          <w:color w:val="FF0000"/>
          <w:sz w:val="22"/>
          <w:szCs w:val="22"/>
        </w:rPr>
        <w:t xml:space="preserve"> </w:t>
      </w:r>
      <w:r w:rsidRPr="00116BD6">
        <w:rPr>
          <w:rFonts w:asciiTheme="majorEastAsia" w:hAnsiTheme="majorEastAsia" w:cstheme="majorEastAsia" w:hint="eastAsia"/>
          <w:i/>
          <w:iCs/>
          <w:color w:val="FF0000"/>
          <w:sz w:val="22"/>
          <w:szCs w:val="22"/>
        </w:rPr>
        <w:t>di ANAC)</w:t>
      </w:r>
    </w:p>
    <w:p w14:paraId="0795CCC8" w14:textId="1DBF3039" w:rsidR="00573485" w:rsidRPr="00313F36" w:rsidRDefault="00E0012C" w:rsidP="00E0012C">
      <w:pPr>
        <w:pStyle w:val="NormaleWeb"/>
        <w:jc w:val="both"/>
        <w:rPr>
          <w:rFonts w:asciiTheme="majorEastAsia" w:hAnsiTheme="majorEastAsia" w:cstheme="majorEastAsia"/>
          <w:iCs/>
        </w:rPr>
      </w:pPr>
      <w:r w:rsidRPr="00116BD6">
        <w:rPr>
          <w:rFonts w:asciiTheme="majorEastAsia" w:hAnsiTheme="majorEastAsia" w:cstheme="majorEastAsia" w:hint="eastAsia"/>
          <w:color w:val="000000"/>
          <w:sz w:val="22"/>
          <w:szCs w:val="22"/>
          <w:shd w:val="clear" w:color="auto" w:fill="F5FDFE"/>
        </w:rPr>
        <w:t>14. Non possono essere affidatari di subappalti e non possono stipulare i relativi contratti i soggetti per i quali ricorrano i motivi di esclusione previsti dal presente articolo.</w:t>
      </w:r>
    </w:p>
    <w:sectPr w:rsidR="00573485" w:rsidRPr="00313F36" w:rsidSect="00AA7A97">
      <w:headerReference w:type="default" r:id="rId50"/>
      <w:footerReference w:type="default" r:id="rId51"/>
      <w:type w:val="continuous"/>
      <w:pgSz w:w="11910" w:h="16840"/>
      <w:pgMar w:top="1320" w:right="1000" w:bottom="820" w:left="1000" w:header="720" w:footer="6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BD53D" w14:textId="77777777" w:rsidR="009666C8" w:rsidRDefault="009666C8">
      <w:r>
        <w:separator/>
      </w:r>
    </w:p>
  </w:endnote>
  <w:endnote w:type="continuationSeparator" w:id="0">
    <w:p w14:paraId="382B90FB" w14:textId="77777777" w:rsidR="009666C8" w:rsidRDefault="0096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0575" w14:textId="77777777" w:rsidR="00E86A4F" w:rsidRDefault="00AA7A97">
    <w:pPr>
      <w:pStyle w:val="Corpotesto"/>
      <w:spacing w:line="14" w:lineRule="auto"/>
      <w:rPr>
        <w:sz w:val="20"/>
      </w:rPr>
    </w:pPr>
    <w:r>
      <w:rPr>
        <w:noProof/>
        <w:lang w:eastAsia="zh-CN"/>
      </w:rPr>
      <mc:AlternateContent>
        <mc:Choice Requires="wps">
          <w:drawing>
            <wp:anchor distT="0" distB="0" distL="114300" distR="114300" simplePos="0" relativeHeight="487427584" behindDoc="1" locked="0" layoutInCell="1" allowOverlap="1" wp14:anchorId="1DAC0DC7" wp14:editId="6C995E76">
              <wp:simplePos x="0" y="0"/>
              <wp:positionH relativeFrom="page">
                <wp:posOffset>6085840</wp:posOffset>
              </wp:positionH>
              <wp:positionV relativeFrom="page">
                <wp:posOffset>10150475</wp:posOffset>
              </wp:positionV>
              <wp:extent cx="637540" cy="15240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5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34AD9" w14:textId="0CF213A3" w:rsidR="00E86A4F" w:rsidRDefault="00511F3F">
                          <w:pPr>
                            <w:spacing w:before="12"/>
                            <w:ind w:left="20"/>
                            <w:rPr>
                              <w:rFonts w:ascii="Times New Roman"/>
                              <w:sz w:val="18"/>
                            </w:rPr>
                          </w:pPr>
                          <w:r>
                            <w:rPr>
                              <w:rFonts w:ascii="Times New Roman"/>
                              <w:color w:val="538DD3"/>
                              <w:sz w:val="18"/>
                            </w:rPr>
                            <w:t>P</w:t>
                          </w:r>
                          <w:r>
                            <w:rPr>
                              <w:rFonts w:ascii="Times New Roman"/>
                              <w:color w:val="538DD3"/>
                              <w:spacing w:val="18"/>
                              <w:sz w:val="18"/>
                            </w:rPr>
                            <w:t xml:space="preserve"> </w:t>
                          </w:r>
                          <w:r>
                            <w:rPr>
                              <w:rFonts w:ascii="Times New Roman"/>
                              <w:color w:val="538DD3"/>
                              <w:sz w:val="18"/>
                            </w:rPr>
                            <w:t>a</w:t>
                          </w:r>
                          <w:r>
                            <w:rPr>
                              <w:rFonts w:ascii="Times New Roman"/>
                              <w:color w:val="538DD3"/>
                              <w:spacing w:val="13"/>
                              <w:sz w:val="18"/>
                            </w:rPr>
                            <w:t xml:space="preserve"> </w:t>
                          </w:r>
                          <w:proofErr w:type="gramStart"/>
                          <w:r>
                            <w:rPr>
                              <w:rFonts w:ascii="Times New Roman"/>
                              <w:color w:val="538DD3"/>
                              <w:sz w:val="18"/>
                            </w:rPr>
                            <w:t>g</w:t>
                          </w:r>
                          <w:r>
                            <w:rPr>
                              <w:rFonts w:ascii="Times New Roman"/>
                              <w:color w:val="538DD3"/>
                              <w:spacing w:val="13"/>
                              <w:sz w:val="18"/>
                            </w:rPr>
                            <w:t xml:space="preserve"> </w:t>
                          </w:r>
                          <w:r>
                            <w:rPr>
                              <w:rFonts w:ascii="Times New Roman"/>
                              <w:color w:val="538DD3"/>
                              <w:sz w:val="18"/>
                            </w:rPr>
                            <w:t>.</w:t>
                          </w:r>
                          <w:proofErr w:type="gramEnd"/>
                          <w:r>
                            <w:rPr>
                              <w:rFonts w:ascii="Times New Roman"/>
                              <w:color w:val="538DD3"/>
                              <w:spacing w:val="17"/>
                              <w:sz w:val="18"/>
                            </w:rPr>
                            <w:t xml:space="preserve"> </w:t>
                          </w:r>
                          <w:r>
                            <w:fldChar w:fldCharType="begin"/>
                          </w:r>
                          <w:r>
                            <w:rPr>
                              <w:rFonts w:ascii="Times New Roman"/>
                              <w:color w:val="17365D"/>
                              <w:sz w:val="18"/>
                            </w:rPr>
                            <w:instrText xml:space="preserve"> PAGE </w:instrText>
                          </w:r>
                          <w:r>
                            <w:fldChar w:fldCharType="separate"/>
                          </w:r>
                          <w:r w:rsidR="00D14904">
                            <w:rPr>
                              <w:rFonts w:ascii="Times New Roman"/>
                              <w:noProof/>
                              <w:color w:val="17365D"/>
                              <w:sz w:val="18"/>
                            </w:rPr>
                            <w:t>1</w:t>
                          </w:r>
                          <w:r>
                            <w:fldChar w:fldCharType="end"/>
                          </w:r>
                          <w:r>
                            <w:rPr>
                              <w:rFonts w:ascii="Times New Roman"/>
                              <w:color w:val="17365D"/>
                              <w:spacing w:val="-1"/>
                              <w:sz w:val="18"/>
                            </w:rPr>
                            <w:t xml:space="preserve"> </w:t>
                          </w:r>
                          <w:r>
                            <w:rPr>
                              <w:rFonts w:ascii="Times New Roman"/>
                              <w:color w:val="17365D"/>
                              <w:sz w:val="18"/>
                            </w:rPr>
                            <w:t>|</w:t>
                          </w:r>
                          <w:r>
                            <w:rPr>
                              <w:rFonts w:ascii="Times New Roman"/>
                              <w:color w:val="17365D"/>
                              <w:spacing w:val="-5"/>
                              <w:sz w:val="18"/>
                            </w:rPr>
                            <w:t xml:space="preserve"> </w:t>
                          </w:r>
                          <w:r w:rsidR="00E0012C">
                            <w:rPr>
                              <w:rFonts w:ascii="Times New Roman"/>
                              <w:color w:val="17365D"/>
                              <w:sz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C0DC7" id="_x0000_t202" coordsize="21600,21600" o:spt="202" path="m,l,21600r21600,l21600,xe">
              <v:stroke joinstyle="miter"/>
              <v:path gradientshapeok="t" o:connecttype="rect"/>
            </v:shapetype>
            <v:shape id="Casella di testo 1" o:spid="_x0000_s1026" type="#_x0000_t202" style="position:absolute;margin-left:479.2pt;margin-top:799.25pt;width:50.2pt;height:12pt;z-index:-1588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" filled="f" stroked="f">
              <v:textbox inset="0,0,0,0">
                <w:txbxContent>
                  <w:p w14:paraId="0FC34AD9" w14:textId="0CF213A3" w:rsidR="00E86A4F" w:rsidRDefault="00511F3F">
                    <w:pPr>
                      <w:spacing w:before="12"/>
                      <w:ind w:left="20"/>
                      <w:rPr>
                        <w:rFonts w:ascii="Times New Roman"/>
                        <w:sz w:val="18"/>
                      </w:rPr>
                    </w:pPr>
                    <w:r>
                      <w:rPr>
                        <w:rFonts w:ascii="Times New Roman"/>
                        <w:color w:val="538DD3"/>
                        <w:sz w:val="18"/>
                      </w:rPr>
                      <w:t>P</w:t>
                    </w:r>
                    <w:r>
                      <w:rPr>
                        <w:rFonts w:ascii="Times New Roman"/>
                        <w:color w:val="538DD3"/>
                        <w:spacing w:val="18"/>
                        <w:sz w:val="18"/>
                      </w:rPr>
                      <w:t xml:space="preserve"> </w:t>
                    </w:r>
                    <w:r>
                      <w:rPr>
                        <w:rFonts w:ascii="Times New Roman"/>
                        <w:color w:val="538DD3"/>
                        <w:sz w:val="18"/>
                      </w:rPr>
                      <w:t>a</w:t>
                    </w:r>
                    <w:r>
                      <w:rPr>
                        <w:rFonts w:ascii="Times New Roman"/>
                        <w:color w:val="538DD3"/>
                        <w:spacing w:val="13"/>
                        <w:sz w:val="18"/>
                      </w:rPr>
                      <w:t xml:space="preserve"> </w:t>
                    </w:r>
                    <w:proofErr w:type="gramStart"/>
                    <w:r>
                      <w:rPr>
                        <w:rFonts w:ascii="Times New Roman"/>
                        <w:color w:val="538DD3"/>
                        <w:sz w:val="18"/>
                      </w:rPr>
                      <w:t>g</w:t>
                    </w:r>
                    <w:r>
                      <w:rPr>
                        <w:rFonts w:ascii="Times New Roman"/>
                        <w:color w:val="538DD3"/>
                        <w:spacing w:val="13"/>
                        <w:sz w:val="18"/>
                      </w:rPr>
                      <w:t xml:space="preserve"> </w:t>
                    </w:r>
                    <w:r>
                      <w:rPr>
                        <w:rFonts w:ascii="Times New Roman"/>
                        <w:color w:val="538DD3"/>
                        <w:sz w:val="18"/>
                      </w:rPr>
                      <w:t>.</w:t>
                    </w:r>
                    <w:proofErr w:type="gramEnd"/>
                    <w:r>
                      <w:rPr>
                        <w:rFonts w:ascii="Times New Roman"/>
                        <w:color w:val="538DD3"/>
                        <w:spacing w:val="17"/>
                        <w:sz w:val="18"/>
                      </w:rPr>
                      <w:t xml:space="preserve"> </w:t>
                    </w:r>
                    <w:r>
                      <w:fldChar w:fldCharType="begin"/>
                    </w:r>
                    <w:r>
                      <w:rPr>
                        <w:rFonts w:ascii="Times New Roman"/>
                        <w:color w:val="17365D"/>
                        <w:sz w:val="18"/>
                      </w:rPr>
                      <w:instrText xml:space="preserve"> PAGE </w:instrText>
                    </w:r>
                    <w:r>
                      <w:fldChar w:fldCharType="separate"/>
                    </w:r>
                    <w:r w:rsidR="00D14904">
                      <w:rPr>
                        <w:rFonts w:ascii="Times New Roman"/>
                        <w:noProof/>
                        <w:color w:val="17365D"/>
                        <w:sz w:val="18"/>
                      </w:rPr>
                      <w:t>1</w:t>
                    </w:r>
                    <w:r>
                      <w:fldChar w:fldCharType="end"/>
                    </w:r>
                    <w:r>
                      <w:rPr>
                        <w:rFonts w:ascii="Times New Roman"/>
                        <w:color w:val="17365D"/>
                        <w:spacing w:val="-1"/>
                        <w:sz w:val="18"/>
                      </w:rPr>
                      <w:t xml:space="preserve"> </w:t>
                    </w:r>
                    <w:r>
                      <w:rPr>
                        <w:rFonts w:ascii="Times New Roman"/>
                        <w:color w:val="17365D"/>
                        <w:sz w:val="18"/>
                      </w:rPr>
                      <w:t>|</w:t>
                    </w:r>
                    <w:r>
                      <w:rPr>
                        <w:rFonts w:ascii="Times New Roman"/>
                        <w:color w:val="17365D"/>
                        <w:spacing w:val="-5"/>
                        <w:sz w:val="18"/>
                      </w:rPr>
                      <w:t xml:space="preserve"> </w:t>
                    </w:r>
                    <w:r w:rsidR="00E0012C">
                      <w:rPr>
                        <w:rFonts w:ascii="Times New Roman"/>
                        <w:color w:val="17365D"/>
                        <w:sz w:val="18"/>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00B0" w14:textId="77777777" w:rsidR="009666C8" w:rsidRDefault="009666C8">
      <w:r>
        <w:separator/>
      </w:r>
    </w:p>
  </w:footnote>
  <w:footnote w:type="continuationSeparator" w:id="0">
    <w:p w14:paraId="32F19719" w14:textId="77777777" w:rsidR="009666C8" w:rsidRDefault="00966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CF2B" w14:textId="433E8255" w:rsidR="003A54B5" w:rsidRDefault="003A54B5" w:rsidP="003A54B5">
    <w:pPr>
      <w:pStyle w:val="Intestazione"/>
      <w:jc w:val="right"/>
    </w:pPr>
    <w:r>
      <w:t>ALLEGATO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C2ABC"/>
    <w:multiLevelType w:val="multilevel"/>
    <w:tmpl w:val="0E68FB74"/>
    <w:lvl w:ilvl="0">
      <w:start w:val="1"/>
      <w:numFmt w:val="lowerLetter"/>
      <w:lvlText w:val="%1"/>
      <w:lvlJc w:val="left"/>
      <w:pPr>
        <w:ind w:left="1033" w:hanging="504"/>
        <w:jc w:val="left"/>
      </w:pPr>
      <w:rPr>
        <w:rFonts w:hint="default"/>
        <w:lang w:val="it-IT" w:eastAsia="en-US" w:bidi="ar-SA"/>
      </w:rPr>
    </w:lvl>
    <w:lvl w:ilvl="1">
      <w:start w:val="1"/>
      <w:numFmt w:val="decimal"/>
      <w:lvlText w:val="%1.%2."/>
      <w:lvlJc w:val="left"/>
      <w:pPr>
        <w:ind w:left="1033" w:hanging="504"/>
        <w:jc w:val="left"/>
      </w:pPr>
      <w:rPr>
        <w:rFonts w:ascii="Calibri" w:eastAsia="Calibri" w:hAnsi="Calibri" w:cs="Calibri" w:hint="default"/>
        <w:w w:val="100"/>
        <w:sz w:val="22"/>
        <w:szCs w:val="22"/>
        <w:lang w:val="it-IT" w:eastAsia="en-US" w:bidi="ar-SA"/>
      </w:rPr>
    </w:lvl>
    <w:lvl w:ilvl="2">
      <w:start w:val="1"/>
      <w:numFmt w:val="decimal"/>
      <w:lvlText w:val="%3)"/>
      <w:lvlJc w:val="left"/>
      <w:pPr>
        <w:ind w:left="1393" w:hanging="360"/>
        <w:jc w:val="left"/>
      </w:pPr>
      <w:rPr>
        <w:rFonts w:ascii="Calibri" w:eastAsia="Calibri" w:hAnsi="Calibri" w:cs="Calibri" w:hint="default"/>
        <w:w w:val="100"/>
        <w:sz w:val="22"/>
        <w:szCs w:val="22"/>
        <w:lang w:val="it-IT" w:eastAsia="en-US" w:bidi="ar-SA"/>
      </w:rPr>
    </w:lvl>
    <w:lvl w:ilvl="3">
      <w:numFmt w:val="bullet"/>
      <w:lvlText w:val="•"/>
      <w:lvlJc w:val="left"/>
      <w:pPr>
        <w:ind w:left="3290" w:hanging="360"/>
      </w:pPr>
      <w:rPr>
        <w:rFonts w:hint="default"/>
        <w:lang w:val="it-IT" w:eastAsia="en-US" w:bidi="ar-SA"/>
      </w:rPr>
    </w:lvl>
    <w:lvl w:ilvl="4">
      <w:numFmt w:val="bullet"/>
      <w:lvlText w:val="•"/>
      <w:lvlJc w:val="left"/>
      <w:pPr>
        <w:ind w:left="4235" w:hanging="360"/>
      </w:pPr>
      <w:rPr>
        <w:rFonts w:hint="default"/>
        <w:lang w:val="it-IT" w:eastAsia="en-US" w:bidi="ar-SA"/>
      </w:rPr>
    </w:lvl>
    <w:lvl w:ilvl="5">
      <w:numFmt w:val="bullet"/>
      <w:lvlText w:val="•"/>
      <w:lvlJc w:val="left"/>
      <w:pPr>
        <w:ind w:left="5180" w:hanging="360"/>
      </w:pPr>
      <w:rPr>
        <w:rFonts w:hint="default"/>
        <w:lang w:val="it-IT" w:eastAsia="en-US" w:bidi="ar-SA"/>
      </w:rPr>
    </w:lvl>
    <w:lvl w:ilvl="6">
      <w:numFmt w:val="bullet"/>
      <w:lvlText w:val="•"/>
      <w:lvlJc w:val="left"/>
      <w:pPr>
        <w:ind w:left="6125" w:hanging="360"/>
      </w:pPr>
      <w:rPr>
        <w:rFonts w:hint="default"/>
        <w:lang w:val="it-IT" w:eastAsia="en-US" w:bidi="ar-SA"/>
      </w:rPr>
    </w:lvl>
    <w:lvl w:ilvl="7">
      <w:numFmt w:val="bullet"/>
      <w:lvlText w:val="•"/>
      <w:lvlJc w:val="left"/>
      <w:pPr>
        <w:ind w:left="7070" w:hanging="360"/>
      </w:pPr>
      <w:rPr>
        <w:rFonts w:hint="default"/>
        <w:lang w:val="it-IT" w:eastAsia="en-US" w:bidi="ar-SA"/>
      </w:rPr>
    </w:lvl>
    <w:lvl w:ilvl="8">
      <w:numFmt w:val="bullet"/>
      <w:lvlText w:val="•"/>
      <w:lvlJc w:val="left"/>
      <w:pPr>
        <w:ind w:left="8016" w:hanging="360"/>
      </w:pPr>
      <w:rPr>
        <w:rFonts w:hint="default"/>
        <w:lang w:val="it-IT" w:eastAsia="en-US" w:bidi="ar-SA"/>
      </w:rPr>
    </w:lvl>
  </w:abstractNum>
  <w:abstractNum w:abstractNumId="1" w15:restartNumberingAfterBreak="0">
    <w:nsid w:val="111F0BC8"/>
    <w:multiLevelType w:val="hybridMultilevel"/>
    <w:tmpl w:val="78F25C72"/>
    <w:lvl w:ilvl="0" w:tplc="153ABDAA">
      <w:numFmt w:val="bullet"/>
      <w:lvlText w:val=""/>
      <w:lvlJc w:val="left"/>
      <w:pPr>
        <w:ind w:left="507" w:hanging="375"/>
      </w:pPr>
      <w:rPr>
        <w:rFonts w:ascii="Wingdings" w:eastAsia="Wingdings" w:hAnsi="Wingdings" w:cs="Wingdings" w:hint="default"/>
        <w:w w:val="100"/>
        <w:sz w:val="28"/>
        <w:szCs w:val="28"/>
        <w:lang w:val="it-IT" w:eastAsia="en-US" w:bidi="ar-SA"/>
      </w:rPr>
    </w:lvl>
    <w:lvl w:ilvl="1" w:tplc="C9AC82DA">
      <w:numFmt w:val="bullet"/>
      <w:lvlText w:val="•"/>
      <w:lvlJc w:val="left"/>
      <w:pPr>
        <w:ind w:left="1440" w:hanging="375"/>
      </w:pPr>
      <w:rPr>
        <w:rFonts w:hint="default"/>
        <w:lang w:val="it-IT" w:eastAsia="en-US" w:bidi="ar-SA"/>
      </w:rPr>
    </w:lvl>
    <w:lvl w:ilvl="2" w:tplc="8B1C3638">
      <w:numFmt w:val="bullet"/>
      <w:lvlText w:val="•"/>
      <w:lvlJc w:val="left"/>
      <w:pPr>
        <w:ind w:left="2381" w:hanging="375"/>
      </w:pPr>
      <w:rPr>
        <w:rFonts w:hint="default"/>
        <w:lang w:val="it-IT" w:eastAsia="en-US" w:bidi="ar-SA"/>
      </w:rPr>
    </w:lvl>
    <w:lvl w:ilvl="3" w:tplc="4CEC7A36">
      <w:numFmt w:val="bullet"/>
      <w:lvlText w:val="•"/>
      <w:lvlJc w:val="left"/>
      <w:pPr>
        <w:ind w:left="3321" w:hanging="375"/>
      </w:pPr>
      <w:rPr>
        <w:rFonts w:hint="default"/>
        <w:lang w:val="it-IT" w:eastAsia="en-US" w:bidi="ar-SA"/>
      </w:rPr>
    </w:lvl>
    <w:lvl w:ilvl="4" w:tplc="D7CA133A">
      <w:numFmt w:val="bullet"/>
      <w:lvlText w:val="•"/>
      <w:lvlJc w:val="left"/>
      <w:pPr>
        <w:ind w:left="4262" w:hanging="375"/>
      </w:pPr>
      <w:rPr>
        <w:rFonts w:hint="default"/>
        <w:lang w:val="it-IT" w:eastAsia="en-US" w:bidi="ar-SA"/>
      </w:rPr>
    </w:lvl>
    <w:lvl w:ilvl="5" w:tplc="04E41B20">
      <w:numFmt w:val="bullet"/>
      <w:lvlText w:val="•"/>
      <w:lvlJc w:val="left"/>
      <w:pPr>
        <w:ind w:left="5203" w:hanging="375"/>
      </w:pPr>
      <w:rPr>
        <w:rFonts w:hint="default"/>
        <w:lang w:val="it-IT" w:eastAsia="en-US" w:bidi="ar-SA"/>
      </w:rPr>
    </w:lvl>
    <w:lvl w:ilvl="6" w:tplc="DD32417E">
      <w:numFmt w:val="bullet"/>
      <w:lvlText w:val="•"/>
      <w:lvlJc w:val="left"/>
      <w:pPr>
        <w:ind w:left="6143" w:hanging="375"/>
      </w:pPr>
      <w:rPr>
        <w:rFonts w:hint="default"/>
        <w:lang w:val="it-IT" w:eastAsia="en-US" w:bidi="ar-SA"/>
      </w:rPr>
    </w:lvl>
    <w:lvl w:ilvl="7" w:tplc="13306B42">
      <w:numFmt w:val="bullet"/>
      <w:lvlText w:val="•"/>
      <w:lvlJc w:val="left"/>
      <w:pPr>
        <w:ind w:left="7084" w:hanging="375"/>
      </w:pPr>
      <w:rPr>
        <w:rFonts w:hint="default"/>
        <w:lang w:val="it-IT" w:eastAsia="en-US" w:bidi="ar-SA"/>
      </w:rPr>
    </w:lvl>
    <w:lvl w:ilvl="8" w:tplc="59127C84">
      <w:numFmt w:val="bullet"/>
      <w:lvlText w:val="•"/>
      <w:lvlJc w:val="left"/>
      <w:pPr>
        <w:ind w:left="8025" w:hanging="375"/>
      </w:pPr>
      <w:rPr>
        <w:rFonts w:hint="default"/>
        <w:lang w:val="it-IT" w:eastAsia="en-US" w:bidi="ar-SA"/>
      </w:rPr>
    </w:lvl>
  </w:abstractNum>
  <w:abstractNum w:abstractNumId="2" w15:restartNumberingAfterBreak="0">
    <w:nsid w:val="166A0B4A"/>
    <w:multiLevelType w:val="multilevel"/>
    <w:tmpl w:val="401268DA"/>
    <w:lvl w:ilvl="0">
      <w:start w:val="1"/>
      <w:numFmt w:val="decimal"/>
      <w:lvlText w:val="%1)"/>
      <w:lvlJc w:val="left"/>
      <w:pPr>
        <w:ind w:left="529" w:hanging="397"/>
        <w:jc w:val="left"/>
      </w:pPr>
      <w:rPr>
        <w:rFonts w:hint="default"/>
        <w:w w:val="100"/>
        <w:lang w:val="it-IT" w:eastAsia="en-US" w:bidi="ar-SA"/>
      </w:rPr>
    </w:lvl>
    <w:lvl w:ilvl="1">
      <w:start w:val="1"/>
      <w:numFmt w:val="decimal"/>
      <w:lvlText w:val="%1.%2"/>
      <w:lvlJc w:val="left"/>
      <w:pPr>
        <w:ind w:left="132" w:hanging="337"/>
        <w:jc w:val="left"/>
      </w:pPr>
      <w:rPr>
        <w:rFonts w:ascii="Calibri" w:eastAsia="Calibri" w:hAnsi="Calibri" w:cs="Calibri" w:hint="default"/>
        <w:b/>
        <w:bCs/>
        <w:spacing w:val="-2"/>
        <w:w w:val="100"/>
        <w:sz w:val="22"/>
        <w:szCs w:val="22"/>
        <w:lang w:val="it-IT" w:eastAsia="en-US" w:bidi="ar-SA"/>
      </w:rPr>
    </w:lvl>
    <w:lvl w:ilvl="2">
      <w:numFmt w:val="bullet"/>
      <w:lvlText w:val="•"/>
      <w:lvlJc w:val="left"/>
      <w:pPr>
        <w:ind w:left="1562" w:hanging="337"/>
      </w:pPr>
      <w:rPr>
        <w:rFonts w:hint="default"/>
        <w:lang w:val="it-IT" w:eastAsia="en-US" w:bidi="ar-SA"/>
      </w:rPr>
    </w:lvl>
    <w:lvl w:ilvl="3">
      <w:numFmt w:val="bullet"/>
      <w:lvlText w:val="•"/>
      <w:lvlJc w:val="left"/>
      <w:pPr>
        <w:ind w:left="2605" w:hanging="337"/>
      </w:pPr>
      <w:rPr>
        <w:rFonts w:hint="default"/>
        <w:lang w:val="it-IT" w:eastAsia="en-US" w:bidi="ar-SA"/>
      </w:rPr>
    </w:lvl>
    <w:lvl w:ilvl="4">
      <w:numFmt w:val="bullet"/>
      <w:lvlText w:val="•"/>
      <w:lvlJc w:val="left"/>
      <w:pPr>
        <w:ind w:left="3648" w:hanging="337"/>
      </w:pPr>
      <w:rPr>
        <w:rFonts w:hint="default"/>
        <w:lang w:val="it-IT" w:eastAsia="en-US" w:bidi="ar-SA"/>
      </w:rPr>
    </w:lvl>
    <w:lvl w:ilvl="5">
      <w:numFmt w:val="bullet"/>
      <w:lvlText w:val="•"/>
      <w:lvlJc w:val="left"/>
      <w:pPr>
        <w:ind w:left="4691" w:hanging="337"/>
      </w:pPr>
      <w:rPr>
        <w:rFonts w:hint="default"/>
        <w:lang w:val="it-IT" w:eastAsia="en-US" w:bidi="ar-SA"/>
      </w:rPr>
    </w:lvl>
    <w:lvl w:ilvl="6">
      <w:numFmt w:val="bullet"/>
      <w:lvlText w:val="•"/>
      <w:lvlJc w:val="left"/>
      <w:pPr>
        <w:ind w:left="5734" w:hanging="337"/>
      </w:pPr>
      <w:rPr>
        <w:rFonts w:hint="default"/>
        <w:lang w:val="it-IT" w:eastAsia="en-US" w:bidi="ar-SA"/>
      </w:rPr>
    </w:lvl>
    <w:lvl w:ilvl="7">
      <w:numFmt w:val="bullet"/>
      <w:lvlText w:val="•"/>
      <w:lvlJc w:val="left"/>
      <w:pPr>
        <w:ind w:left="6777" w:hanging="337"/>
      </w:pPr>
      <w:rPr>
        <w:rFonts w:hint="default"/>
        <w:lang w:val="it-IT" w:eastAsia="en-US" w:bidi="ar-SA"/>
      </w:rPr>
    </w:lvl>
    <w:lvl w:ilvl="8">
      <w:numFmt w:val="bullet"/>
      <w:lvlText w:val="•"/>
      <w:lvlJc w:val="left"/>
      <w:pPr>
        <w:ind w:left="7820" w:hanging="337"/>
      </w:pPr>
      <w:rPr>
        <w:rFonts w:hint="default"/>
        <w:lang w:val="it-IT" w:eastAsia="en-US" w:bidi="ar-SA"/>
      </w:rPr>
    </w:lvl>
  </w:abstractNum>
  <w:abstractNum w:abstractNumId="3" w15:restartNumberingAfterBreak="0">
    <w:nsid w:val="216C5B6E"/>
    <w:multiLevelType w:val="hybridMultilevel"/>
    <w:tmpl w:val="C44E9CCA"/>
    <w:lvl w:ilvl="0" w:tplc="57F004F8">
      <w:start w:val="1"/>
      <w:numFmt w:val="lowerLetter"/>
      <w:lvlText w:val="%1."/>
      <w:lvlJc w:val="left"/>
      <w:pPr>
        <w:ind w:left="529" w:hanging="397"/>
        <w:jc w:val="left"/>
      </w:pPr>
      <w:rPr>
        <w:rFonts w:ascii="Calibri" w:eastAsia="Calibri" w:hAnsi="Calibri" w:cs="Calibri" w:hint="default"/>
        <w:spacing w:val="-1"/>
        <w:w w:val="100"/>
        <w:sz w:val="22"/>
        <w:szCs w:val="22"/>
        <w:lang w:val="it-IT" w:eastAsia="en-US" w:bidi="ar-SA"/>
      </w:rPr>
    </w:lvl>
    <w:lvl w:ilvl="1" w:tplc="0DB8BC7C">
      <w:numFmt w:val="bullet"/>
      <w:lvlText w:val=""/>
      <w:lvlJc w:val="left"/>
      <w:pPr>
        <w:ind w:left="841" w:hanging="348"/>
      </w:pPr>
      <w:rPr>
        <w:rFonts w:ascii="Symbol" w:eastAsia="Symbol" w:hAnsi="Symbol" w:cs="Symbol" w:hint="default"/>
        <w:w w:val="100"/>
        <w:sz w:val="22"/>
        <w:szCs w:val="22"/>
        <w:lang w:val="it-IT" w:eastAsia="en-US" w:bidi="ar-SA"/>
      </w:rPr>
    </w:lvl>
    <w:lvl w:ilvl="2" w:tplc="9710BF32">
      <w:numFmt w:val="bullet"/>
      <w:lvlText w:val=""/>
      <w:lvlJc w:val="left"/>
      <w:pPr>
        <w:ind w:left="1316" w:hanging="190"/>
      </w:pPr>
      <w:rPr>
        <w:rFonts w:ascii="Symbol" w:eastAsia="Symbol" w:hAnsi="Symbol" w:cs="Symbol" w:hint="default"/>
        <w:w w:val="100"/>
        <w:sz w:val="22"/>
        <w:szCs w:val="22"/>
        <w:lang w:val="it-IT" w:eastAsia="en-US" w:bidi="ar-SA"/>
      </w:rPr>
    </w:lvl>
    <w:lvl w:ilvl="3" w:tplc="6FF22032">
      <w:numFmt w:val="bullet"/>
      <w:lvlText w:val="•"/>
      <w:lvlJc w:val="left"/>
      <w:pPr>
        <w:ind w:left="2393" w:hanging="190"/>
      </w:pPr>
      <w:rPr>
        <w:rFonts w:hint="default"/>
        <w:lang w:val="it-IT" w:eastAsia="en-US" w:bidi="ar-SA"/>
      </w:rPr>
    </w:lvl>
    <w:lvl w:ilvl="4" w:tplc="783ADF94">
      <w:numFmt w:val="bullet"/>
      <w:lvlText w:val="•"/>
      <w:lvlJc w:val="left"/>
      <w:pPr>
        <w:ind w:left="3466" w:hanging="190"/>
      </w:pPr>
      <w:rPr>
        <w:rFonts w:hint="default"/>
        <w:lang w:val="it-IT" w:eastAsia="en-US" w:bidi="ar-SA"/>
      </w:rPr>
    </w:lvl>
    <w:lvl w:ilvl="5" w:tplc="AECC51A4">
      <w:numFmt w:val="bullet"/>
      <w:lvlText w:val="•"/>
      <w:lvlJc w:val="left"/>
      <w:pPr>
        <w:ind w:left="4539" w:hanging="190"/>
      </w:pPr>
      <w:rPr>
        <w:rFonts w:hint="default"/>
        <w:lang w:val="it-IT" w:eastAsia="en-US" w:bidi="ar-SA"/>
      </w:rPr>
    </w:lvl>
    <w:lvl w:ilvl="6" w:tplc="5CD61B72">
      <w:numFmt w:val="bullet"/>
      <w:lvlText w:val="•"/>
      <w:lvlJc w:val="left"/>
      <w:pPr>
        <w:ind w:left="5613" w:hanging="190"/>
      </w:pPr>
      <w:rPr>
        <w:rFonts w:hint="default"/>
        <w:lang w:val="it-IT" w:eastAsia="en-US" w:bidi="ar-SA"/>
      </w:rPr>
    </w:lvl>
    <w:lvl w:ilvl="7" w:tplc="4C1636F0">
      <w:numFmt w:val="bullet"/>
      <w:lvlText w:val="•"/>
      <w:lvlJc w:val="left"/>
      <w:pPr>
        <w:ind w:left="6686" w:hanging="190"/>
      </w:pPr>
      <w:rPr>
        <w:rFonts w:hint="default"/>
        <w:lang w:val="it-IT" w:eastAsia="en-US" w:bidi="ar-SA"/>
      </w:rPr>
    </w:lvl>
    <w:lvl w:ilvl="8" w:tplc="F0C666C2">
      <w:numFmt w:val="bullet"/>
      <w:lvlText w:val="•"/>
      <w:lvlJc w:val="left"/>
      <w:pPr>
        <w:ind w:left="7759" w:hanging="190"/>
      </w:pPr>
      <w:rPr>
        <w:rFonts w:hint="default"/>
        <w:lang w:val="it-IT" w:eastAsia="en-US" w:bidi="ar-SA"/>
      </w:rPr>
    </w:lvl>
  </w:abstractNum>
  <w:abstractNum w:abstractNumId="4" w15:restartNumberingAfterBreak="0">
    <w:nsid w:val="24701A0A"/>
    <w:multiLevelType w:val="hybridMultilevel"/>
    <w:tmpl w:val="69CE5D7E"/>
    <w:lvl w:ilvl="0" w:tplc="17BE4392">
      <w:start w:val="1"/>
      <w:numFmt w:val="lowerRoman"/>
      <w:lvlText w:val="%1)"/>
      <w:lvlJc w:val="left"/>
      <w:pPr>
        <w:ind w:left="853" w:hanging="721"/>
        <w:jc w:val="right"/>
      </w:pPr>
      <w:rPr>
        <w:rFonts w:ascii="Calibri" w:eastAsia="Calibri" w:hAnsi="Calibri" w:cs="Calibri" w:hint="default"/>
        <w:w w:val="100"/>
        <w:sz w:val="22"/>
        <w:szCs w:val="22"/>
        <w:lang w:val="it-IT" w:eastAsia="en-US" w:bidi="ar-SA"/>
      </w:rPr>
    </w:lvl>
    <w:lvl w:ilvl="1" w:tplc="C6C64322">
      <w:numFmt w:val="bullet"/>
      <w:lvlText w:val="•"/>
      <w:lvlJc w:val="left"/>
      <w:pPr>
        <w:ind w:left="1764" w:hanging="721"/>
      </w:pPr>
      <w:rPr>
        <w:rFonts w:hint="default"/>
        <w:lang w:val="it-IT" w:eastAsia="en-US" w:bidi="ar-SA"/>
      </w:rPr>
    </w:lvl>
    <w:lvl w:ilvl="2" w:tplc="E72CFFB0">
      <w:numFmt w:val="bullet"/>
      <w:lvlText w:val="•"/>
      <w:lvlJc w:val="left"/>
      <w:pPr>
        <w:ind w:left="2669" w:hanging="721"/>
      </w:pPr>
      <w:rPr>
        <w:rFonts w:hint="default"/>
        <w:lang w:val="it-IT" w:eastAsia="en-US" w:bidi="ar-SA"/>
      </w:rPr>
    </w:lvl>
    <w:lvl w:ilvl="3" w:tplc="CEC85552">
      <w:numFmt w:val="bullet"/>
      <w:lvlText w:val="•"/>
      <w:lvlJc w:val="left"/>
      <w:pPr>
        <w:ind w:left="3573" w:hanging="721"/>
      </w:pPr>
      <w:rPr>
        <w:rFonts w:hint="default"/>
        <w:lang w:val="it-IT" w:eastAsia="en-US" w:bidi="ar-SA"/>
      </w:rPr>
    </w:lvl>
    <w:lvl w:ilvl="4" w:tplc="B900C4A0">
      <w:numFmt w:val="bullet"/>
      <w:lvlText w:val="•"/>
      <w:lvlJc w:val="left"/>
      <w:pPr>
        <w:ind w:left="4478" w:hanging="721"/>
      </w:pPr>
      <w:rPr>
        <w:rFonts w:hint="default"/>
        <w:lang w:val="it-IT" w:eastAsia="en-US" w:bidi="ar-SA"/>
      </w:rPr>
    </w:lvl>
    <w:lvl w:ilvl="5" w:tplc="D35C2798">
      <w:numFmt w:val="bullet"/>
      <w:lvlText w:val="•"/>
      <w:lvlJc w:val="left"/>
      <w:pPr>
        <w:ind w:left="5383" w:hanging="721"/>
      </w:pPr>
      <w:rPr>
        <w:rFonts w:hint="default"/>
        <w:lang w:val="it-IT" w:eastAsia="en-US" w:bidi="ar-SA"/>
      </w:rPr>
    </w:lvl>
    <w:lvl w:ilvl="6" w:tplc="65C4716A">
      <w:numFmt w:val="bullet"/>
      <w:lvlText w:val="•"/>
      <w:lvlJc w:val="left"/>
      <w:pPr>
        <w:ind w:left="6287" w:hanging="721"/>
      </w:pPr>
      <w:rPr>
        <w:rFonts w:hint="default"/>
        <w:lang w:val="it-IT" w:eastAsia="en-US" w:bidi="ar-SA"/>
      </w:rPr>
    </w:lvl>
    <w:lvl w:ilvl="7" w:tplc="64207582">
      <w:numFmt w:val="bullet"/>
      <w:lvlText w:val="•"/>
      <w:lvlJc w:val="left"/>
      <w:pPr>
        <w:ind w:left="7192" w:hanging="721"/>
      </w:pPr>
      <w:rPr>
        <w:rFonts w:hint="default"/>
        <w:lang w:val="it-IT" w:eastAsia="en-US" w:bidi="ar-SA"/>
      </w:rPr>
    </w:lvl>
    <w:lvl w:ilvl="8" w:tplc="9A88D010">
      <w:numFmt w:val="bullet"/>
      <w:lvlText w:val="•"/>
      <w:lvlJc w:val="left"/>
      <w:pPr>
        <w:ind w:left="8097" w:hanging="721"/>
      </w:pPr>
      <w:rPr>
        <w:rFonts w:hint="default"/>
        <w:lang w:val="it-IT" w:eastAsia="en-US" w:bidi="ar-SA"/>
      </w:rPr>
    </w:lvl>
  </w:abstractNum>
  <w:abstractNum w:abstractNumId="5" w15:restartNumberingAfterBreak="0">
    <w:nsid w:val="38136189"/>
    <w:multiLevelType w:val="hybridMultilevel"/>
    <w:tmpl w:val="04CC709A"/>
    <w:lvl w:ilvl="0" w:tplc="5DAC2CEE">
      <w:numFmt w:val="bullet"/>
      <w:lvlText w:val="□"/>
      <w:lvlJc w:val="left"/>
      <w:pPr>
        <w:ind w:left="132" w:hanging="234"/>
      </w:pPr>
      <w:rPr>
        <w:rFonts w:ascii="Symbol" w:eastAsia="Symbol" w:hAnsi="Symbol" w:cs="Symbol" w:hint="default"/>
        <w:w w:val="60"/>
        <w:sz w:val="22"/>
        <w:szCs w:val="22"/>
        <w:lang w:val="it-IT" w:eastAsia="en-US" w:bidi="ar-SA"/>
      </w:rPr>
    </w:lvl>
    <w:lvl w:ilvl="1" w:tplc="0B681524">
      <w:numFmt w:val="bullet"/>
      <w:lvlText w:val=""/>
      <w:lvlJc w:val="left"/>
      <w:pPr>
        <w:ind w:left="1210" w:hanging="512"/>
      </w:pPr>
      <w:rPr>
        <w:rFonts w:ascii="Wingdings" w:eastAsia="Wingdings" w:hAnsi="Wingdings" w:cs="Wingdings" w:hint="default"/>
        <w:w w:val="100"/>
        <w:sz w:val="22"/>
        <w:szCs w:val="22"/>
        <w:lang w:val="it-IT" w:eastAsia="en-US" w:bidi="ar-SA"/>
      </w:rPr>
    </w:lvl>
    <w:lvl w:ilvl="2" w:tplc="7F4294CA">
      <w:numFmt w:val="bullet"/>
      <w:lvlText w:val="•"/>
      <w:lvlJc w:val="left"/>
      <w:pPr>
        <w:ind w:left="2185" w:hanging="512"/>
      </w:pPr>
      <w:rPr>
        <w:rFonts w:hint="default"/>
        <w:lang w:val="it-IT" w:eastAsia="en-US" w:bidi="ar-SA"/>
      </w:rPr>
    </w:lvl>
    <w:lvl w:ilvl="3" w:tplc="8BBA0988">
      <w:numFmt w:val="bullet"/>
      <w:lvlText w:val="•"/>
      <w:lvlJc w:val="left"/>
      <w:pPr>
        <w:ind w:left="3150" w:hanging="512"/>
      </w:pPr>
      <w:rPr>
        <w:rFonts w:hint="default"/>
        <w:lang w:val="it-IT" w:eastAsia="en-US" w:bidi="ar-SA"/>
      </w:rPr>
    </w:lvl>
    <w:lvl w:ilvl="4" w:tplc="028AC052">
      <w:numFmt w:val="bullet"/>
      <w:lvlText w:val="•"/>
      <w:lvlJc w:val="left"/>
      <w:pPr>
        <w:ind w:left="4115" w:hanging="512"/>
      </w:pPr>
      <w:rPr>
        <w:rFonts w:hint="default"/>
        <w:lang w:val="it-IT" w:eastAsia="en-US" w:bidi="ar-SA"/>
      </w:rPr>
    </w:lvl>
    <w:lvl w:ilvl="5" w:tplc="88D4C91A">
      <w:numFmt w:val="bullet"/>
      <w:lvlText w:val="•"/>
      <w:lvlJc w:val="left"/>
      <w:pPr>
        <w:ind w:left="5080" w:hanging="512"/>
      </w:pPr>
      <w:rPr>
        <w:rFonts w:hint="default"/>
        <w:lang w:val="it-IT" w:eastAsia="en-US" w:bidi="ar-SA"/>
      </w:rPr>
    </w:lvl>
    <w:lvl w:ilvl="6" w:tplc="916699F4">
      <w:numFmt w:val="bullet"/>
      <w:lvlText w:val="•"/>
      <w:lvlJc w:val="left"/>
      <w:pPr>
        <w:ind w:left="6045" w:hanging="512"/>
      </w:pPr>
      <w:rPr>
        <w:rFonts w:hint="default"/>
        <w:lang w:val="it-IT" w:eastAsia="en-US" w:bidi="ar-SA"/>
      </w:rPr>
    </w:lvl>
    <w:lvl w:ilvl="7" w:tplc="BCD27098">
      <w:numFmt w:val="bullet"/>
      <w:lvlText w:val="•"/>
      <w:lvlJc w:val="left"/>
      <w:pPr>
        <w:ind w:left="7010" w:hanging="512"/>
      </w:pPr>
      <w:rPr>
        <w:rFonts w:hint="default"/>
        <w:lang w:val="it-IT" w:eastAsia="en-US" w:bidi="ar-SA"/>
      </w:rPr>
    </w:lvl>
    <w:lvl w:ilvl="8" w:tplc="DC30B362">
      <w:numFmt w:val="bullet"/>
      <w:lvlText w:val="•"/>
      <w:lvlJc w:val="left"/>
      <w:pPr>
        <w:ind w:left="7976" w:hanging="512"/>
      </w:pPr>
      <w:rPr>
        <w:rFonts w:hint="default"/>
        <w:lang w:val="it-IT" w:eastAsia="en-US" w:bidi="ar-SA"/>
      </w:rPr>
    </w:lvl>
  </w:abstractNum>
  <w:abstractNum w:abstractNumId="6" w15:restartNumberingAfterBreak="0">
    <w:nsid w:val="3A7F4730"/>
    <w:multiLevelType w:val="multilevel"/>
    <w:tmpl w:val="C1FA22F4"/>
    <w:lvl w:ilvl="0">
      <w:start w:val="1"/>
      <w:numFmt w:val="decimal"/>
      <w:lvlText w:val="%1)"/>
      <w:lvlJc w:val="left"/>
      <w:pPr>
        <w:ind w:left="405" w:hanging="263"/>
        <w:jc w:val="left"/>
      </w:pPr>
      <w:rPr>
        <w:rFonts w:ascii="Calibri" w:eastAsia="Calibri" w:hAnsi="Calibri" w:cs="Calibri" w:hint="default"/>
        <w:b w:val="0"/>
        <w:bCs w:val="0"/>
        <w:i w:val="0"/>
        <w:iCs/>
        <w:w w:val="100"/>
        <w:sz w:val="22"/>
        <w:szCs w:val="22"/>
        <w:lang w:val="it-IT" w:eastAsia="en-US" w:bidi="ar-SA"/>
      </w:rPr>
    </w:lvl>
    <w:lvl w:ilvl="1">
      <w:start w:val="1"/>
      <w:numFmt w:val="upperLetter"/>
      <w:lvlText w:val="%1.%2)"/>
      <w:lvlJc w:val="left"/>
      <w:pPr>
        <w:ind w:left="405" w:hanging="476"/>
        <w:jc w:val="left"/>
      </w:pPr>
      <w:rPr>
        <w:rFonts w:ascii="Calibri" w:eastAsia="Calibri" w:hAnsi="Calibri" w:cs="Calibri" w:hint="default"/>
        <w:b/>
        <w:bCs/>
        <w:spacing w:val="-2"/>
        <w:w w:val="100"/>
        <w:sz w:val="22"/>
        <w:szCs w:val="22"/>
        <w:lang w:val="it-IT" w:eastAsia="en-US" w:bidi="ar-SA"/>
      </w:rPr>
    </w:lvl>
    <w:lvl w:ilvl="2">
      <w:numFmt w:val="bullet"/>
      <w:lvlText w:val="•"/>
      <w:lvlJc w:val="left"/>
      <w:pPr>
        <w:ind w:left="2366" w:hanging="476"/>
      </w:pPr>
      <w:rPr>
        <w:rFonts w:hint="default"/>
        <w:lang w:val="it-IT" w:eastAsia="en-US" w:bidi="ar-SA"/>
      </w:rPr>
    </w:lvl>
    <w:lvl w:ilvl="3">
      <w:numFmt w:val="bullet"/>
      <w:lvlText w:val="•"/>
      <w:lvlJc w:val="left"/>
      <w:pPr>
        <w:ind w:left="3342" w:hanging="476"/>
      </w:pPr>
      <w:rPr>
        <w:rFonts w:hint="default"/>
        <w:lang w:val="it-IT" w:eastAsia="en-US" w:bidi="ar-SA"/>
      </w:rPr>
    </w:lvl>
    <w:lvl w:ilvl="4">
      <w:numFmt w:val="bullet"/>
      <w:lvlText w:val="•"/>
      <w:lvlJc w:val="left"/>
      <w:pPr>
        <w:ind w:left="4319" w:hanging="476"/>
      </w:pPr>
      <w:rPr>
        <w:rFonts w:hint="default"/>
        <w:lang w:val="it-IT" w:eastAsia="en-US" w:bidi="ar-SA"/>
      </w:rPr>
    </w:lvl>
    <w:lvl w:ilvl="5">
      <w:numFmt w:val="bullet"/>
      <w:lvlText w:val="•"/>
      <w:lvlJc w:val="left"/>
      <w:pPr>
        <w:ind w:left="5296" w:hanging="476"/>
      </w:pPr>
      <w:rPr>
        <w:rFonts w:hint="default"/>
        <w:lang w:val="it-IT" w:eastAsia="en-US" w:bidi="ar-SA"/>
      </w:rPr>
    </w:lvl>
    <w:lvl w:ilvl="6">
      <w:numFmt w:val="bullet"/>
      <w:lvlText w:val="•"/>
      <w:lvlJc w:val="left"/>
      <w:pPr>
        <w:ind w:left="6272" w:hanging="476"/>
      </w:pPr>
      <w:rPr>
        <w:rFonts w:hint="default"/>
        <w:lang w:val="it-IT" w:eastAsia="en-US" w:bidi="ar-SA"/>
      </w:rPr>
    </w:lvl>
    <w:lvl w:ilvl="7">
      <w:numFmt w:val="bullet"/>
      <w:lvlText w:val="•"/>
      <w:lvlJc w:val="left"/>
      <w:pPr>
        <w:ind w:left="7249" w:hanging="476"/>
      </w:pPr>
      <w:rPr>
        <w:rFonts w:hint="default"/>
        <w:lang w:val="it-IT" w:eastAsia="en-US" w:bidi="ar-SA"/>
      </w:rPr>
    </w:lvl>
    <w:lvl w:ilvl="8">
      <w:numFmt w:val="bullet"/>
      <w:lvlText w:val="•"/>
      <w:lvlJc w:val="left"/>
      <w:pPr>
        <w:ind w:left="8226" w:hanging="476"/>
      </w:pPr>
      <w:rPr>
        <w:rFonts w:hint="default"/>
        <w:lang w:val="it-IT" w:eastAsia="en-US" w:bidi="ar-SA"/>
      </w:rPr>
    </w:lvl>
  </w:abstractNum>
  <w:abstractNum w:abstractNumId="7" w15:restartNumberingAfterBreak="0">
    <w:nsid w:val="48C9798E"/>
    <w:multiLevelType w:val="multilevel"/>
    <w:tmpl w:val="58D43A54"/>
    <w:lvl w:ilvl="0">
      <w:start w:val="1"/>
      <w:numFmt w:val="decimal"/>
      <w:lvlText w:val="%1"/>
      <w:lvlJc w:val="left"/>
      <w:pPr>
        <w:ind w:left="132" w:hanging="387"/>
        <w:jc w:val="left"/>
      </w:pPr>
      <w:rPr>
        <w:rFonts w:hint="default"/>
        <w:lang w:val="it-IT" w:eastAsia="en-US" w:bidi="ar-SA"/>
      </w:rPr>
    </w:lvl>
    <w:lvl w:ilvl="1">
      <w:start w:val="12"/>
      <w:numFmt w:val="upperLetter"/>
      <w:lvlText w:val="%1.%2)"/>
      <w:lvlJc w:val="left"/>
      <w:pPr>
        <w:ind w:left="132" w:hanging="387"/>
        <w:jc w:val="left"/>
      </w:pPr>
      <w:rPr>
        <w:rFonts w:ascii="Calibri" w:eastAsia="Calibri" w:hAnsi="Calibri" w:cs="Calibri" w:hint="default"/>
        <w:b/>
        <w:bCs/>
        <w:spacing w:val="-3"/>
        <w:w w:val="100"/>
        <w:sz w:val="22"/>
        <w:szCs w:val="22"/>
        <w:lang w:val="it-IT" w:eastAsia="en-US" w:bidi="ar-SA"/>
      </w:rPr>
    </w:lvl>
    <w:lvl w:ilvl="2">
      <w:numFmt w:val="bullet"/>
      <w:lvlText w:val="•"/>
      <w:lvlJc w:val="left"/>
      <w:pPr>
        <w:ind w:left="2093" w:hanging="387"/>
      </w:pPr>
      <w:rPr>
        <w:rFonts w:hint="default"/>
        <w:lang w:val="it-IT" w:eastAsia="en-US" w:bidi="ar-SA"/>
      </w:rPr>
    </w:lvl>
    <w:lvl w:ilvl="3">
      <w:numFmt w:val="bullet"/>
      <w:lvlText w:val="•"/>
      <w:lvlJc w:val="left"/>
      <w:pPr>
        <w:ind w:left="3069" w:hanging="387"/>
      </w:pPr>
      <w:rPr>
        <w:rFonts w:hint="default"/>
        <w:lang w:val="it-IT" w:eastAsia="en-US" w:bidi="ar-SA"/>
      </w:rPr>
    </w:lvl>
    <w:lvl w:ilvl="4">
      <w:numFmt w:val="bullet"/>
      <w:lvlText w:val="•"/>
      <w:lvlJc w:val="left"/>
      <w:pPr>
        <w:ind w:left="4046" w:hanging="387"/>
      </w:pPr>
      <w:rPr>
        <w:rFonts w:hint="default"/>
        <w:lang w:val="it-IT" w:eastAsia="en-US" w:bidi="ar-SA"/>
      </w:rPr>
    </w:lvl>
    <w:lvl w:ilvl="5">
      <w:numFmt w:val="bullet"/>
      <w:lvlText w:val="•"/>
      <w:lvlJc w:val="left"/>
      <w:pPr>
        <w:ind w:left="5023" w:hanging="387"/>
      </w:pPr>
      <w:rPr>
        <w:rFonts w:hint="default"/>
        <w:lang w:val="it-IT" w:eastAsia="en-US" w:bidi="ar-SA"/>
      </w:rPr>
    </w:lvl>
    <w:lvl w:ilvl="6">
      <w:numFmt w:val="bullet"/>
      <w:lvlText w:val="•"/>
      <w:lvlJc w:val="left"/>
      <w:pPr>
        <w:ind w:left="5999" w:hanging="387"/>
      </w:pPr>
      <w:rPr>
        <w:rFonts w:hint="default"/>
        <w:lang w:val="it-IT" w:eastAsia="en-US" w:bidi="ar-SA"/>
      </w:rPr>
    </w:lvl>
    <w:lvl w:ilvl="7">
      <w:numFmt w:val="bullet"/>
      <w:lvlText w:val="•"/>
      <w:lvlJc w:val="left"/>
      <w:pPr>
        <w:ind w:left="6976" w:hanging="387"/>
      </w:pPr>
      <w:rPr>
        <w:rFonts w:hint="default"/>
        <w:lang w:val="it-IT" w:eastAsia="en-US" w:bidi="ar-SA"/>
      </w:rPr>
    </w:lvl>
    <w:lvl w:ilvl="8">
      <w:numFmt w:val="bullet"/>
      <w:lvlText w:val="•"/>
      <w:lvlJc w:val="left"/>
      <w:pPr>
        <w:ind w:left="7953" w:hanging="387"/>
      </w:pPr>
      <w:rPr>
        <w:rFonts w:hint="default"/>
        <w:lang w:val="it-IT" w:eastAsia="en-US" w:bidi="ar-SA"/>
      </w:rPr>
    </w:lvl>
  </w:abstractNum>
  <w:abstractNum w:abstractNumId="8" w15:restartNumberingAfterBreak="0">
    <w:nsid w:val="51E33AD3"/>
    <w:multiLevelType w:val="hybridMultilevel"/>
    <w:tmpl w:val="F4F63A8E"/>
    <w:lvl w:ilvl="0" w:tplc="D26E5CD8">
      <w:start w:val="1"/>
      <w:numFmt w:val="decimal"/>
      <w:lvlText w:val="%1."/>
      <w:lvlJc w:val="left"/>
      <w:pPr>
        <w:ind w:left="493" w:hanging="284"/>
        <w:jc w:val="left"/>
      </w:pPr>
      <w:rPr>
        <w:rFonts w:ascii="Calibri" w:eastAsia="Calibri" w:hAnsi="Calibri" w:cs="Calibri" w:hint="default"/>
        <w:w w:val="100"/>
        <w:sz w:val="22"/>
        <w:szCs w:val="22"/>
        <w:lang w:val="it-IT" w:eastAsia="en-US" w:bidi="ar-SA"/>
      </w:rPr>
    </w:lvl>
    <w:lvl w:ilvl="1" w:tplc="3AB23228">
      <w:start w:val="1"/>
      <w:numFmt w:val="lowerLetter"/>
      <w:lvlText w:val="%2)"/>
      <w:lvlJc w:val="left"/>
      <w:pPr>
        <w:ind w:left="853" w:hanging="348"/>
        <w:jc w:val="left"/>
      </w:pPr>
      <w:rPr>
        <w:rFonts w:ascii="Times New Roman" w:eastAsia="Times New Roman" w:hAnsi="Times New Roman" w:cs="Times New Roman" w:hint="default"/>
        <w:w w:val="99"/>
        <w:sz w:val="20"/>
        <w:szCs w:val="20"/>
        <w:lang w:val="it-IT" w:eastAsia="en-US" w:bidi="ar-SA"/>
      </w:rPr>
    </w:lvl>
    <w:lvl w:ilvl="2" w:tplc="B13A6E5E">
      <w:numFmt w:val="bullet"/>
      <w:lvlText w:val="•"/>
      <w:lvlJc w:val="left"/>
      <w:pPr>
        <w:ind w:left="1865" w:hanging="348"/>
      </w:pPr>
      <w:rPr>
        <w:rFonts w:hint="default"/>
        <w:lang w:val="it-IT" w:eastAsia="en-US" w:bidi="ar-SA"/>
      </w:rPr>
    </w:lvl>
    <w:lvl w:ilvl="3" w:tplc="9530F676">
      <w:numFmt w:val="bullet"/>
      <w:lvlText w:val="•"/>
      <w:lvlJc w:val="left"/>
      <w:pPr>
        <w:ind w:left="2870" w:hanging="348"/>
      </w:pPr>
      <w:rPr>
        <w:rFonts w:hint="default"/>
        <w:lang w:val="it-IT" w:eastAsia="en-US" w:bidi="ar-SA"/>
      </w:rPr>
    </w:lvl>
    <w:lvl w:ilvl="4" w:tplc="C734AC94">
      <w:numFmt w:val="bullet"/>
      <w:lvlText w:val="•"/>
      <w:lvlJc w:val="left"/>
      <w:pPr>
        <w:ind w:left="3875" w:hanging="348"/>
      </w:pPr>
      <w:rPr>
        <w:rFonts w:hint="default"/>
        <w:lang w:val="it-IT" w:eastAsia="en-US" w:bidi="ar-SA"/>
      </w:rPr>
    </w:lvl>
    <w:lvl w:ilvl="5" w:tplc="18EA4046">
      <w:numFmt w:val="bullet"/>
      <w:lvlText w:val="•"/>
      <w:lvlJc w:val="left"/>
      <w:pPr>
        <w:ind w:left="4880" w:hanging="348"/>
      </w:pPr>
      <w:rPr>
        <w:rFonts w:hint="default"/>
        <w:lang w:val="it-IT" w:eastAsia="en-US" w:bidi="ar-SA"/>
      </w:rPr>
    </w:lvl>
    <w:lvl w:ilvl="6" w:tplc="1E0ADF36">
      <w:numFmt w:val="bullet"/>
      <w:lvlText w:val="•"/>
      <w:lvlJc w:val="left"/>
      <w:pPr>
        <w:ind w:left="5885" w:hanging="348"/>
      </w:pPr>
      <w:rPr>
        <w:rFonts w:hint="default"/>
        <w:lang w:val="it-IT" w:eastAsia="en-US" w:bidi="ar-SA"/>
      </w:rPr>
    </w:lvl>
    <w:lvl w:ilvl="7" w:tplc="B6B26BF4">
      <w:numFmt w:val="bullet"/>
      <w:lvlText w:val="•"/>
      <w:lvlJc w:val="left"/>
      <w:pPr>
        <w:ind w:left="6890" w:hanging="348"/>
      </w:pPr>
      <w:rPr>
        <w:rFonts w:hint="default"/>
        <w:lang w:val="it-IT" w:eastAsia="en-US" w:bidi="ar-SA"/>
      </w:rPr>
    </w:lvl>
    <w:lvl w:ilvl="8" w:tplc="EB92E07C">
      <w:numFmt w:val="bullet"/>
      <w:lvlText w:val="•"/>
      <w:lvlJc w:val="left"/>
      <w:pPr>
        <w:ind w:left="7896" w:hanging="348"/>
      </w:pPr>
      <w:rPr>
        <w:rFonts w:hint="default"/>
        <w:lang w:val="it-IT" w:eastAsia="en-US" w:bidi="ar-SA"/>
      </w:rPr>
    </w:lvl>
  </w:abstractNum>
  <w:abstractNum w:abstractNumId="9" w15:restartNumberingAfterBreak="0">
    <w:nsid w:val="58463B7E"/>
    <w:multiLevelType w:val="hybridMultilevel"/>
    <w:tmpl w:val="063A325E"/>
    <w:lvl w:ilvl="0" w:tplc="BEE4D4F4">
      <w:numFmt w:val="bullet"/>
      <w:lvlText w:val="-"/>
      <w:lvlJc w:val="left"/>
      <w:pPr>
        <w:ind w:left="529" w:hanging="397"/>
      </w:pPr>
      <w:rPr>
        <w:rFonts w:ascii="Arial MT" w:eastAsia="Arial MT" w:hAnsi="Arial MT" w:cs="Arial MT" w:hint="default"/>
        <w:w w:val="100"/>
        <w:sz w:val="22"/>
        <w:szCs w:val="22"/>
        <w:lang w:val="it-IT" w:eastAsia="en-US" w:bidi="ar-SA"/>
      </w:rPr>
    </w:lvl>
    <w:lvl w:ilvl="1" w:tplc="1B2828FA">
      <w:numFmt w:val="bullet"/>
      <w:lvlText w:val="•"/>
      <w:lvlJc w:val="left"/>
      <w:pPr>
        <w:ind w:left="1458" w:hanging="397"/>
      </w:pPr>
      <w:rPr>
        <w:rFonts w:hint="default"/>
        <w:lang w:val="it-IT" w:eastAsia="en-US" w:bidi="ar-SA"/>
      </w:rPr>
    </w:lvl>
    <w:lvl w:ilvl="2" w:tplc="8988AF1E">
      <w:numFmt w:val="bullet"/>
      <w:lvlText w:val="•"/>
      <w:lvlJc w:val="left"/>
      <w:pPr>
        <w:ind w:left="2397" w:hanging="397"/>
      </w:pPr>
      <w:rPr>
        <w:rFonts w:hint="default"/>
        <w:lang w:val="it-IT" w:eastAsia="en-US" w:bidi="ar-SA"/>
      </w:rPr>
    </w:lvl>
    <w:lvl w:ilvl="3" w:tplc="92D09C06">
      <w:numFmt w:val="bullet"/>
      <w:lvlText w:val="•"/>
      <w:lvlJc w:val="left"/>
      <w:pPr>
        <w:ind w:left="3335" w:hanging="397"/>
      </w:pPr>
      <w:rPr>
        <w:rFonts w:hint="default"/>
        <w:lang w:val="it-IT" w:eastAsia="en-US" w:bidi="ar-SA"/>
      </w:rPr>
    </w:lvl>
    <w:lvl w:ilvl="4" w:tplc="0CDA531A">
      <w:numFmt w:val="bullet"/>
      <w:lvlText w:val="•"/>
      <w:lvlJc w:val="left"/>
      <w:pPr>
        <w:ind w:left="4274" w:hanging="397"/>
      </w:pPr>
      <w:rPr>
        <w:rFonts w:hint="default"/>
        <w:lang w:val="it-IT" w:eastAsia="en-US" w:bidi="ar-SA"/>
      </w:rPr>
    </w:lvl>
    <w:lvl w:ilvl="5" w:tplc="A726DD74">
      <w:numFmt w:val="bullet"/>
      <w:lvlText w:val="•"/>
      <w:lvlJc w:val="left"/>
      <w:pPr>
        <w:ind w:left="5213" w:hanging="397"/>
      </w:pPr>
      <w:rPr>
        <w:rFonts w:hint="default"/>
        <w:lang w:val="it-IT" w:eastAsia="en-US" w:bidi="ar-SA"/>
      </w:rPr>
    </w:lvl>
    <w:lvl w:ilvl="6" w:tplc="44862986">
      <w:numFmt w:val="bullet"/>
      <w:lvlText w:val="•"/>
      <w:lvlJc w:val="left"/>
      <w:pPr>
        <w:ind w:left="6151" w:hanging="397"/>
      </w:pPr>
      <w:rPr>
        <w:rFonts w:hint="default"/>
        <w:lang w:val="it-IT" w:eastAsia="en-US" w:bidi="ar-SA"/>
      </w:rPr>
    </w:lvl>
    <w:lvl w:ilvl="7" w:tplc="528A0744">
      <w:numFmt w:val="bullet"/>
      <w:lvlText w:val="•"/>
      <w:lvlJc w:val="left"/>
      <w:pPr>
        <w:ind w:left="7090" w:hanging="397"/>
      </w:pPr>
      <w:rPr>
        <w:rFonts w:hint="default"/>
        <w:lang w:val="it-IT" w:eastAsia="en-US" w:bidi="ar-SA"/>
      </w:rPr>
    </w:lvl>
    <w:lvl w:ilvl="8" w:tplc="1A9C1C20">
      <w:numFmt w:val="bullet"/>
      <w:lvlText w:val="•"/>
      <w:lvlJc w:val="left"/>
      <w:pPr>
        <w:ind w:left="8029" w:hanging="397"/>
      </w:pPr>
      <w:rPr>
        <w:rFonts w:hint="default"/>
        <w:lang w:val="it-IT" w:eastAsia="en-US" w:bidi="ar-SA"/>
      </w:rPr>
    </w:lvl>
  </w:abstractNum>
  <w:num w:numId="1" w16cid:durableId="1107433963">
    <w:abstractNumId w:val="3"/>
  </w:num>
  <w:num w:numId="2" w16cid:durableId="254284728">
    <w:abstractNumId w:val="8"/>
  </w:num>
  <w:num w:numId="3" w16cid:durableId="1680545450">
    <w:abstractNumId w:val="5"/>
  </w:num>
  <w:num w:numId="4" w16cid:durableId="268392535">
    <w:abstractNumId w:val="2"/>
  </w:num>
  <w:num w:numId="5" w16cid:durableId="642544578">
    <w:abstractNumId w:val="4"/>
  </w:num>
  <w:num w:numId="6" w16cid:durableId="482702047">
    <w:abstractNumId w:val="7"/>
  </w:num>
  <w:num w:numId="7" w16cid:durableId="2102141181">
    <w:abstractNumId w:val="0"/>
  </w:num>
  <w:num w:numId="8" w16cid:durableId="943880117">
    <w:abstractNumId w:val="9"/>
  </w:num>
  <w:num w:numId="9" w16cid:durableId="1977448768">
    <w:abstractNumId w:val="6"/>
  </w:num>
  <w:num w:numId="10" w16cid:durableId="274018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86A4F"/>
    <w:rsid w:val="00043C3F"/>
    <w:rsid w:val="001A5A31"/>
    <w:rsid w:val="00313F36"/>
    <w:rsid w:val="00370B2A"/>
    <w:rsid w:val="003A54B5"/>
    <w:rsid w:val="00511F3F"/>
    <w:rsid w:val="00514FF3"/>
    <w:rsid w:val="00515055"/>
    <w:rsid w:val="00541565"/>
    <w:rsid w:val="00573485"/>
    <w:rsid w:val="006757B1"/>
    <w:rsid w:val="009666C8"/>
    <w:rsid w:val="00A04365"/>
    <w:rsid w:val="00AA7A97"/>
    <w:rsid w:val="00B9174C"/>
    <w:rsid w:val="00C372B7"/>
    <w:rsid w:val="00D14904"/>
    <w:rsid w:val="00D1678E"/>
    <w:rsid w:val="00D719B6"/>
    <w:rsid w:val="00DB5638"/>
    <w:rsid w:val="00DD5776"/>
    <w:rsid w:val="00E0012C"/>
    <w:rsid w:val="00E86A4F"/>
    <w:rsid w:val="00F429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3DE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spacing w:before="121"/>
      <w:ind w:left="13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32"/>
      <w:jc w:val="both"/>
    </w:pPr>
  </w:style>
  <w:style w:type="paragraph" w:customStyle="1" w:styleId="TableParagraph">
    <w:name w:val="Table Paragraph"/>
    <w:basedOn w:val="Normale"/>
    <w:uiPriority w:val="1"/>
    <w:qFormat/>
  </w:style>
  <w:style w:type="paragraph" w:styleId="NormaleWeb">
    <w:name w:val="Normal (Web)"/>
    <w:basedOn w:val="Normale"/>
    <w:uiPriority w:val="99"/>
    <w:unhideWhenUsed/>
    <w:rsid w:val="00573485"/>
    <w:pPr>
      <w:widowControl/>
      <w:autoSpaceDE/>
      <w:autoSpaceDN/>
      <w:spacing w:before="100" w:beforeAutospacing="1" w:after="100" w:afterAutospacing="1"/>
    </w:pPr>
    <w:rPr>
      <w:rFonts w:ascii="Times New Roman" w:eastAsiaTheme="minorHAnsi" w:hAnsi="Times New Roman" w:cs="Times New Roman"/>
      <w:sz w:val="24"/>
      <w:szCs w:val="24"/>
      <w:lang w:eastAsia="zh-CN"/>
    </w:rPr>
  </w:style>
  <w:style w:type="character" w:customStyle="1" w:styleId="apple-converted-space">
    <w:name w:val="apple-converted-space"/>
    <w:basedOn w:val="Carpredefinitoparagrafo"/>
    <w:rsid w:val="00573485"/>
  </w:style>
  <w:style w:type="character" w:styleId="Collegamentoipertestuale">
    <w:name w:val="Hyperlink"/>
    <w:basedOn w:val="Carpredefinitoparagrafo"/>
    <w:uiPriority w:val="99"/>
    <w:semiHidden/>
    <w:unhideWhenUsed/>
    <w:rsid w:val="00573485"/>
    <w:rPr>
      <w:color w:val="0000FF"/>
      <w:u w:val="single"/>
    </w:rPr>
  </w:style>
  <w:style w:type="paragraph" w:styleId="Intestazione">
    <w:name w:val="header"/>
    <w:basedOn w:val="Normale"/>
    <w:link w:val="IntestazioneCarattere"/>
    <w:uiPriority w:val="99"/>
    <w:unhideWhenUsed/>
    <w:rsid w:val="003A54B5"/>
    <w:pPr>
      <w:tabs>
        <w:tab w:val="center" w:pos="4819"/>
        <w:tab w:val="right" w:pos="9638"/>
      </w:tabs>
    </w:pPr>
  </w:style>
  <w:style w:type="character" w:customStyle="1" w:styleId="IntestazioneCarattere">
    <w:name w:val="Intestazione Carattere"/>
    <w:basedOn w:val="Carpredefinitoparagrafo"/>
    <w:link w:val="Intestazione"/>
    <w:uiPriority w:val="99"/>
    <w:rsid w:val="003A54B5"/>
    <w:rPr>
      <w:rFonts w:ascii="Calibri" w:eastAsia="Calibri" w:hAnsi="Calibri" w:cs="Calibri"/>
      <w:lang w:val="it-IT"/>
    </w:rPr>
  </w:style>
  <w:style w:type="paragraph" w:styleId="Pidipagina">
    <w:name w:val="footer"/>
    <w:basedOn w:val="Normale"/>
    <w:link w:val="PidipaginaCarattere"/>
    <w:uiPriority w:val="99"/>
    <w:unhideWhenUsed/>
    <w:rsid w:val="003A54B5"/>
    <w:pPr>
      <w:tabs>
        <w:tab w:val="center" w:pos="4819"/>
        <w:tab w:val="right" w:pos="9638"/>
      </w:tabs>
    </w:pPr>
  </w:style>
  <w:style w:type="character" w:customStyle="1" w:styleId="PidipaginaCarattere">
    <w:name w:val="Piè di pagina Carattere"/>
    <w:basedOn w:val="Carpredefinitoparagrafo"/>
    <w:link w:val="Pidipagina"/>
    <w:uiPriority w:val="99"/>
    <w:rsid w:val="003A54B5"/>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589071">
      <w:bodyDiv w:val="1"/>
      <w:marLeft w:val="0"/>
      <w:marRight w:val="0"/>
      <w:marTop w:val="0"/>
      <w:marBottom w:val="0"/>
      <w:divBdr>
        <w:top w:val="none" w:sz="0" w:space="0" w:color="auto"/>
        <w:left w:val="none" w:sz="0" w:space="0" w:color="auto"/>
        <w:bottom w:val="none" w:sz="0" w:space="0" w:color="auto"/>
        <w:right w:val="none" w:sz="0" w:space="0" w:color="auto"/>
      </w:divBdr>
      <w:divsChild>
        <w:div w:id="1226993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90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51465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penale.htm" TargetMode="External"/><Relationship Id="rId26" Type="http://schemas.openxmlformats.org/officeDocument/2006/relationships/hyperlink" Target="https://www.bosettiegatti.eu/info/norme/statali/2008_0040.htm" TargetMode="External"/><Relationship Id="rId39" Type="http://schemas.openxmlformats.org/officeDocument/2006/relationships/hyperlink" Target="https://www.bosettiegatti.eu/info/norme/statali/codicepenale.htm" TargetMode="External"/><Relationship Id="rId3" Type="http://schemas.openxmlformats.org/officeDocument/2006/relationships/settings" Target="settings.xml"/><Relationship Id="rId21" Type="http://schemas.openxmlformats.org/officeDocument/2006/relationships/hyperlink" Target="https://www.bosettiegatti.eu/info/norme/statali/2011_0159.htm" TargetMode="External"/><Relationship Id="rId34" Type="http://schemas.openxmlformats.org/officeDocument/2006/relationships/hyperlink" Target="https://www.bosettiegatti.eu/info/norme/statali/2001_0231.htm" TargetMode="External"/><Relationship Id="rId42" Type="http://schemas.openxmlformats.org/officeDocument/2006/relationships/hyperlink" Target="https://www.bosettiegatti.eu/info/norme/statali/codicecivile.htm" TargetMode="External"/><Relationship Id="rId47" Type="http://schemas.openxmlformats.org/officeDocument/2006/relationships/hyperlink" Target="https://www.bosettiegatti.eu/info/norme/statali/2016_0050.htm" TargetMode="External"/><Relationship Id="rId50" Type="http://schemas.openxmlformats.org/officeDocument/2006/relationships/header" Target="header1.xml"/><Relationship Id="rId7" Type="http://schemas.openxmlformats.org/officeDocument/2006/relationships/hyperlink" Target="https://www.bosettiegatti.eu/info/norme/statali/codiceprocedurapenale.htm" TargetMode="External"/><Relationship Id="rId12" Type="http://schemas.openxmlformats.org/officeDocument/2006/relationships/hyperlink" Target="https://www.bosettiegatti.eu/info/norme/statali/2006_0152.htm" TargetMode="External"/><Relationship Id="rId17" Type="http://schemas.openxmlformats.org/officeDocument/2006/relationships/hyperlink" Target="https://www.bosettiegatti.eu/info/norme/statali/codicecivile.htm" TargetMode="External"/><Relationship Id="rId25" Type="http://schemas.openxmlformats.org/officeDocument/2006/relationships/hyperlink" Target="https://www.bosettiegatti.eu/info/norme/statali/codicepenale.htm" TargetMode="External"/><Relationship Id="rId33" Type="http://schemas.openxmlformats.org/officeDocument/2006/relationships/hyperlink" Target="https://www.bosettiegatti.eu/info/norme/statali/2016_0050.htm" TargetMode="External"/><Relationship Id="rId38" Type="http://schemas.openxmlformats.org/officeDocument/2006/relationships/hyperlink" Target="https://www.bosettiegatti.eu/info/norme/statali/codicepenale.htm" TargetMode="External"/><Relationship Id="rId46" Type="http://schemas.openxmlformats.org/officeDocument/2006/relationships/hyperlink" Target="https://www.bosettiegatti.eu/info/norme/statali/2011_0159.htm" TargetMode="External"/><Relationship Id="rId2" Type="http://schemas.openxmlformats.org/officeDocument/2006/relationships/styles" Target="styles.xml"/><Relationship Id="rId16" Type="http://schemas.openxmlformats.org/officeDocument/2006/relationships/hyperlink" Target="https://www.bosettiegatti.eu/info/norme/statali/codicecivile.htm" TargetMode="External"/><Relationship Id="rId20" Type="http://schemas.openxmlformats.org/officeDocument/2006/relationships/hyperlink" Target="https://www.bosettiegatti.eu/info/norme/statali/2011_0159.htm" TargetMode="External"/><Relationship Id="rId29" Type="http://schemas.openxmlformats.org/officeDocument/2006/relationships/hyperlink" Target="https://www.bosettiegatti.eu/info/norme/statali/2016_0050.htm" TargetMode="External"/><Relationship Id="rId41" Type="http://schemas.openxmlformats.org/officeDocument/2006/relationships/hyperlink" Target="https://www.bosettiegatti.eu/info/norme/statali/1981_0689.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settiegatti.eu/info/norme/statali/2016_0050.htm" TargetMode="External"/><Relationship Id="rId24" Type="http://schemas.openxmlformats.org/officeDocument/2006/relationships/hyperlink" Target="https://www.bosettiegatti.eu/info/norme/statali/2011_0159.htm" TargetMode="External"/><Relationship Id="rId32" Type="http://schemas.openxmlformats.org/officeDocument/2006/relationships/hyperlink" Target="https://www.bosettiegatti.eu/info/norme/statali/2016_0050.htm" TargetMode="External"/><Relationship Id="rId37" Type="http://schemas.openxmlformats.org/officeDocument/2006/relationships/hyperlink" Target="https://www.bosettiegatti.eu/info/norme/statali/1999_0068.htm" TargetMode="External"/><Relationship Id="rId40" Type="http://schemas.openxmlformats.org/officeDocument/2006/relationships/hyperlink" Target="https://www.bosettiegatti.eu/info/norme/statali/codicepenale.htm" TargetMode="External"/><Relationship Id="rId45" Type="http://schemas.openxmlformats.org/officeDocument/2006/relationships/hyperlink" Target="https://www.bosettiegatti.eu/info/norme/statali/codicepenale.htm"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bosettiegatti.eu/info/norme/statali/2011_0159.htm" TargetMode="External"/><Relationship Id="rId28" Type="http://schemas.openxmlformats.org/officeDocument/2006/relationships/hyperlink" Target="https://www.bosettiegatti.eu/info/norme/statali/2022_dm_28_09_esclusioni_80_4.htm" TargetMode="External"/><Relationship Id="rId36" Type="http://schemas.openxmlformats.org/officeDocument/2006/relationships/hyperlink" Target="https://www.bosettiegatti.eu/info/norme/statali/1990_0055.htm" TargetMode="External"/><Relationship Id="rId49" Type="http://schemas.openxmlformats.org/officeDocument/2006/relationships/hyperlink" Target="https://www.bosettiegatti.eu/info/ANAC/anac_linee_guida/2017_LG_006_1008_illeciti%20professionali.pdf" TargetMode="External"/><Relationship Id="rId10" Type="http://schemas.openxmlformats.org/officeDocument/2006/relationships/hyperlink" Target="https://www.bosettiegatti.eu/info/norme/statali/2016_0050.htm" TargetMode="External"/><Relationship Id="rId19" Type="http://schemas.openxmlformats.org/officeDocument/2006/relationships/hyperlink" Target="https://www.bosettiegatti.eu/info/norme/statali/2016_0050.htm" TargetMode="External"/><Relationship Id="rId31" Type="http://schemas.openxmlformats.org/officeDocument/2006/relationships/hyperlink" Target="https://www.bosettiegatti.eu/info/ANAC/anac_linee_guida/2017_LG_006_1008_illeciti%20professionali.pdf" TargetMode="External"/><Relationship Id="rId44" Type="http://schemas.openxmlformats.org/officeDocument/2006/relationships/hyperlink" Target="https://www.bosettiegatti.eu/info/norme/statali/codicepenale.htm"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osettiegatti.eu/info/norme/statali/codicepenale.htm" TargetMode="Externa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11_0159.htm" TargetMode="External"/><Relationship Id="rId27" Type="http://schemas.openxmlformats.org/officeDocument/2006/relationships/hyperlink" Target="https://www.bosettiegatti.eu/info/norme/statali/2015_dm_30_01_DURC.htm" TargetMode="External"/><Relationship Id="rId30" Type="http://schemas.openxmlformats.org/officeDocument/2006/relationships/hyperlink" Target="https://www.bosettiegatti.eu/info/norme/statali/2016_0050.htm" TargetMode="External"/><Relationship Id="rId35" Type="http://schemas.openxmlformats.org/officeDocument/2006/relationships/hyperlink" Target="https://www.bosettiegatti.eu/info/norme/statali/2008_0081.htm" TargetMode="External"/><Relationship Id="rId43" Type="http://schemas.openxmlformats.org/officeDocument/2006/relationships/hyperlink" Target="https://www.bosettiegatti.eu/info/norme/statali/codicepenale.htm" TargetMode="External"/><Relationship Id="rId48" Type="http://schemas.openxmlformats.org/officeDocument/2006/relationships/hyperlink" Target="https://www.bosettiegatti.eu/info/ANAC/anac_linee_guida/2017_LG_006_1008_illeciti%20professionali.pdf" TargetMode="External"/><Relationship Id="rId8" Type="http://schemas.openxmlformats.org/officeDocument/2006/relationships/hyperlink" Target="https://www.bosettiegatti.eu/info/norme/statali/codicepenale.htm" TargetMode="Externa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3634</Words>
  <Characters>20717</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Modello 2</vt:lpstr>
    </vt:vector>
  </TitlesOfParts>
  <Company/>
  <LinksUpToDate>false</LinksUpToDate>
  <CharactersWithSpaces>24303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dc:title>
  <dc:creator>Donatella Siri</dc:creator>
  <cp:lastModifiedBy>Fabrizio Faraco</cp:lastModifiedBy>
  <cp:revision>6</cp:revision>
  <cp:lastPrinted>2022-10-20T09:40:00Z</cp:lastPrinted>
  <dcterms:created xsi:type="dcterms:W3CDTF">2022-10-20T09:40:00Z</dcterms:created>
  <dcterms:modified xsi:type="dcterms:W3CDTF">2022-11-21T08:54:00Z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2019-07-30T00:00:00Z</vt:filetime>
  </property>
  <property fmtid="{D5CDD505-2E9C-101B-9397-08002B2CF9AE}" pid="3" name="Creator">
    <vt:lpwstr>Microsoft® Word 2016</vt:lpwstr>
  </property>
  <property fmtid="{D5CDD505-2E9C-101B-9397-08002B2CF9AE}" pid="4" name="LastSaved">
    <vt:filetime>2022-10-20T00:00:00Z</vt:filetime>
  </property>
</Properties>
</file>